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5.0 -->
  <w:body>
    <w:p w:rsidR="00A212DE" w:rsidRPr="008C380C" w:rsidP="00761CA8" w14:paraId="42BF1E49" w14:textId="13ECB44D">
      <w:pPr>
        <w:pStyle w:val="Heading1"/>
        <w:rPr>
          <w:rFonts w:eastAsia="Arial" w:asciiTheme="minorHAnsi" w:hAnsiTheme="minorHAnsi" w:cstheme="minorHAnsi"/>
          <w:color w:val="C49A00"/>
          <w:sz w:val="22"/>
          <w:szCs w:val="22"/>
          <w:lang w:val="en-AU"/>
        </w:rPr>
      </w:pPr>
      <w:r w:rsidRPr="008C380C">
        <w:rPr>
          <w:rFonts w:eastAsia="Arial" w:asciiTheme="minorHAnsi" w:hAnsiTheme="minorHAnsi" w:cstheme="minorHAnsi"/>
          <w:noProof/>
          <w:color w:val="C49A00"/>
          <w:sz w:val="22"/>
          <w:szCs w:val="22"/>
          <w:lang w:val="en-AU"/>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560310" cy="1680210"/>
                <wp:effectExtent l="0" t="0" r="254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7560310" cy="1680210"/>
                          <a:chOff x="0" y="0"/>
                          <a:chExt cx="11906" cy="2646"/>
                        </a:xfrm>
                      </wpg:grpSpPr>
                      <wps:wsp xmlns:wps="http://schemas.microsoft.com/office/word/2010/wordprocessingShape">
                        <wps:cNvPr id="6" name="Text Box 3"/>
                        <wps:cNvSpPr txBox="1">
                          <a:spLocks noChangeArrowheads="1"/>
                        </wps:cNvSpPr>
                        <wps:spPr bwMode="auto">
                          <a:xfrm>
                            <a:off x="0" y="1472"/>
                            <a:ext cx="11906" cy="1174"/>
                          </a:xfrm>
                          <a:prstGeom prst="rect">
                            <a:avLst/>
                          </a:prstGeom>
                          <a:solidFill>
                            <a:srgbClr val="E4C8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6EB6" w:rsidRPr="00825347" w:rsidP="00706EB6" w14:textId="77777777">
                              <w:pPr>
                                <w:spacing w:before="153"/>
                                <w:ind w:left="3600" w:right="4067"/>
                                <w:jc w:val="center"/>
                                <w:rPr>
                                  <w:rFonts w:ascii="Oswald"/>
                                  <w:sz w:val="40"/>
                                  <w:szCs w:val="40"/>
                                </w:rPr>
                              </w:pPr>
                              <w:r>
                                <w:rPr>
                                  <w:rFonts w:ascii="Oswald"/>
                                  <w:color w:val="231F20"/>
                                  <w:sz w:val="40"/>
                                  <w:szCs w:val="40"/>
                                </w:rPr>
                                <w:t>Proposal C</w:t>
                              </w:r>
                              <w:r w:rsidRPr="00825347">
                                <w:rPr>
                                  <w:rFonts w:ascii="Oswald"/>
                                  <w:color w:val="231F20"/>
                                  <w:sz w:val="40"/>
                                  <w:szCs w:val="40"/>
                                </w:rPr>
                                <w:t xml:space="preserve">ontent </w:t>
                              </w:r>
                              <w:r w:rsidR="001179AE">
                                <w:rPr>
                                  <w:rFonts w:ascii="Oswald"/>
                                  <w:color w:val="231F20"/>
                                  <w:sz w:val="40"/>
                                  <w:szCs w:val="40"/>
                                </w:rPr>
                                <w:t>Document</w:t>
                              </w:r>
                            </w:p>
                            <w:p w:rsidR="000058F3" w:rsidRPr="00825347" w:rsidP="0058226F" w14:textId="444A6303">
                              <w:pPr>
                                <w:spacing w:before="153"/>
                                <w:ind w:left="3600" w:right="4067"/>
                                <w:jc w:val="center"/>
                                <w:rPr>
                                  <w:rFonts w:ascii="Oswald"/>
                                  <w:sz w:val="40"/>
                                  <w:szCs w:val="40"/>
                                </w:rPr>
                              </w:pPr>
                            </w:p>
                          </w:txbxContent>
                        </wps:txbx>
                        <wps:bodyPr rot="0" vert="horz" wrap="square" lIns="0" tIns="0" rIns="0" bIns="0" anchor="t" anchorCtr="0" upright="1"/>
                      </wps:wsp>
                      <wps:wsp xmlns:wps="http://schemas.microsoft.com/office/word/2010/wordprocessingShape">
                        <wps:cNvPr id="7" name="Text Box 4"/>
                        <wps:cNvSpPr txBox="1">
                          <a:spLocks noChangeArrowheads="1"/>
                        </wps:cNvSpPr>
                        <wps:spPr bwMode="auto">
                          <a:xfrm>
                            <a:off x="0" y="0"/>
                            <a:ext cx="11906" cy="1509"/>
                          </a:xfrm>
                          <a:prstGeom prst="rect">
                            <a:avLst/>
                          </a:prstGeom>
                          <a:solidFill>
                            <a:srgbClr val="C9922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58F3" w:rsidP="00AF5299" w14:textId="6C819999">
                              <w:pPr>
                                <w:spacing w:before="360"/>
                                <w:ind w:left="567" w:right="1131"/>
                                <w:jc w:val="center"/>
                                <w:rPr>
                                  <w:rFonts w:ascii="Oswald"/>
                                  <w:sz w:val="60"/>
                                </w:rPr>
                              </w:pPr>
                              <w:r>
                                <w:rPr>
                                  <w:rFonts w:ascii="Oswald"/>
                                  <w:color w:val="FFFFFF"/>
                                  <w:sz w:val="60"/>
                                </w:rPr>
                                <w:t>Greater Paraburdoo Iron Ore Hub</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5" style="width:595.5pt;height:132.3pt;margin-top:0;margin-left:0;mso-height-percent:0;mso-height-relative:page;mso-position-horizontal-relative:page;mso-position-vertical-relative:page;mso-width-percent:0;mso-width-relative:page;mso-wrap-distance-bottom:0;mso-wrap-distance-left:9pt;mso-wrap-distance-right:9pt;mso-wrap-distance-top:0;position:absolute;z-index:251658240" coordorigin="0,0" coordsize="21600,21600">
                <v:shapetype id="_x0000_t202" coordsize="21600,21600" o:spt="202" path="m,l,21600r21600,l21600,xe">
                  <v:stroke joinstyle="miter"/>
                  <v:path gradientshapeok="t" o:connecttype="rect"/>
                </v:shapetype>
                <v:shape id="_x0000_s1026" type="#_x0000_t202" style="width:21600;height:9584;position:absolute;top:12016;v-text-anchor:top" fillcolor="#e4c895" stroked="f">
                  <v:textbox inset="0,0,0,0">
                    <w:txbxContent>
                      <w:p w:rsidR="00706EB6" w:rsidRPr="00825347" w:rsidP="00706EB6" w14:paraId="71CF06AE" w14:textId="77777777">
                        <w:pPr>
                          <w:spacing w:before="153"/>
                          <w:ind w:left="3600" w:right="4067"/>
                          <w:jc w:val="center"/>
                          <w:rPr>
                            <w:rFonts w:ascii="Oswald"/>
                            <w:sz w:val="40"/>
                            <w:szCs w:val="40"/>
                          </w:rPr>
                        </w:pPr>
                        <w:r>
                          <w:rPr>
                            <w:rFonts w:ascii="Oswald"/>
                            <w:color w:val="231F20"/>
                            <w:sz w:val="40"/>
                            <w:szCs w:val="40"/>
                          </w:rPr>
                          <w:t>Proposal C</w:t>
                        </w:r>
                        <w:r w:rsidRPr="00825347">
                          <w:rPr>
                            <w:rFonts w:ascii="Oswald"/>
                            <w:color w:val="231F20"/>
                            <w:sz w:val="40"/>
                            <w:szCs w:val="40"/>
                          </w:rPr>
                          <w:t xml:space="preserve">ontent </w:t>
                        </w:r>
                        <w:r w:rsidR="001179AE">
                          <w:rPr>
                            <w:rFonts w:ascii="Oswald"/>
                            <w:color w:val="231F20"/>
                            <w:sz w:val="40"/>
                            <w:szCs w:val="40"/>
                          </w:rPr>
                          <w:t>Document</w:t>
                        </w:r>
                      </w:p>
                      <w:p w:rsidR="000058F3" w:rsidRPr="00825347" w:rsidP="0058226F" w14:paraId="73C88721" w14:textId="444A6303">
                        <w:pPr>
                          <w:spacing w:before="153"/>
                          <w:ind w:left="3600" w:right="4067"/>
                          <w:jc w:val="center"/>
                          <w:rPr>
                            <w:rFonts w:ascii="Oswald"/>
                            <w:sz w:val="40"/>
                            <w:szCs w:val="40"/>
                          </w:rPr>
                        </w:pPr>
                      </w:p>
                    </w:txbxContent>
                  </v:textbox>
                </v:shape>
                <v:shape id="_x0000_s1027" type="#_x0000_t202" style="width:21600;height:12318;position:absolute;v-text-anchor:top" fillcolor="#c9922b" stroked="f">
                  <v:textbox inset="0,0,0,0">
                    <w:txbxContent>
                      <w:p w:rsidR="000058F3" w:rsidP="00AF5299" w14:paraId="6EF50116" w14:textId="6C819999">
                        <w:pPr>
                          <w:spacing w:before="360"/>
                          <w:ind w:left="567" w:right="1131"/>
                          <w:jc w:val="center"/>
                          <w:rPr>
                            <w:rFonts w:ascii="Oswald"/>
                            <w:sz w:val="60"/>
                          </w:rPr>
                        </w:pPr>
                        <w:r>
                          <w:rPr>
                            <w:rFonts w:ascii="Oswald"/>
                            <w:color w:val="FFFFFF"/>
                            <w:sz w:val="60"/>
                          </w:rPr>
                          <w:t>Greater Paraburdoo Iron Ore Hub</w:t>
                        </w:r>
                      </w:p>
                    </w:txbxContent>
                  </v:textbox>
                </v:shape>
              </v:group>
            </w:pict>
          </mc:Fallback>
        </mc:AlternateContent>
      </w:r>
    </w:p>
    <w:p w:rsidR="00A212DE" w:rsidRPr="008C380C" w:rsidP="00761CA8" w14:paraId="5B26AB2A" w14:textId="77777777">
      <w:pPr>
        <w:pStyle w:val="Heading1"/>
        <w:rPr>
          <w:rFonts w:eastAsia="Arial" w:asciiTheme="minorHAnsi" w:hAnsiTheme="minorHAnsi" w:cstheme="minorHAnsi"/>
          <w:color w:val="C49A00"/>
          <w:sz w:val="22"/>
          <w:szCs w:val="22"/>
          <w:lang w:val="en-AU"/>
        </w:rPr>
      </w:pPr>
    </w:p>
    <w:p w:rsidR="00FB385A" w:rsidRPr="008C380C" w:rsidP="00FD3587" w14:paraId="26017EB3" w14:textId="7E95CC04">
      <w:pPr>
        <w:pStyle w:val="Body"/>
        <w:rPr>
          <w:rFonts w:asciiTheme="minorHAnsi" w:hAnsiTheme="minorHAnsi"/>
          <w:sz w:val="22"/>
        </w:rPr>
      </w:pPr>
      <w:r w:rsidRPr="008C380C">
        <w:rPr>
          <w:rFonts w:asciiTheme="minorHAnsi" w:hAnsiTheme="minorHAnsi"/>
          <w:noProof/>
          <w:sz w:val="22"/>
        </w:rPr>
        <mc:AlternateContent>
          <mc:Choice Requires="wpg">
            <w:drawing>
              <wp:anchor distT="0" distB="0" distL="114300" distR="114300" simplePos="0" relativeHeight="251660288" behindDoc="0" locked="0" layoutInCell="1" allowOverlap="1">
                <wp:simplePos x="0" y="0"/>
                <wp:positionH relativeFrom="page">
                  <wp:posOffset>6045</wp:posOffset>
                </wp:positionH>
                <wp:positionV relativeFrom="page">
                  <wp:posOffset>1668780</wp:posOffset>
                </wp:positionV>
                <wp:extent cx="7560310" cy="72390"/>
                <wp:effectExtent l="0" t="0" r="40640" b="381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7560310" cy="72390"/>
                          <a:chOff x="0" y="2856"/>
                          <a:chExt cx="11906" cy="114"/>
                        </a:xfrm>
                      </wpg:grpSpPr>
                      <wps:wsp xmlns:wps="http://schemas.microsoft.com/office/word/2010/wordprocessingShape">
                        <wps:cNvPr id="10" name="Line 6"/>
                        <wps:cNvCnPr>
                          <a:cxnSpLocks noChangeShapeType="1"/>
                        </wps:cNvCnPr>
                        <wps:spPr bwMode="auto">
                          <a:xfrm>
                            <a:off x="0" y="2913"/>
                            <a:ext cx="2863" cy="0"/>
                          </a:xfrm>
                          <a:prstGeom prst="line">
                            <a:avLst/>
                          </a:prstGeom>
                          <a:noFill/>
                          <a:ln w="71996">
                            <a:solidFill>
                              <a:srgbClr val="224A73"/>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 name="Line 7"/>
                        <wps:cNvCnPr>
                          <a:cxnSpLocks noChangeShapeType="1"/>
                        </wps:cNvCnPr>
                        <wps:spPr bwMode="auto">
                          <a:xfrm>
                            <a:off x="2863" y="2913"/>
                            <a:ext cx="2976" cy="0"/>
                          </a:xfrm>
                          <a:prstGeom prst="line">
                            <a:avLst/>
                          </a:prstGeom>
                          <a:noFill/>
                          <a:ln w="71996">
                            <a:solidFill>
                              <a:srgbClr val="B9BB3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8"/>
                        <wps:cNvCnPr>
                          <a:cxnSpLocks noChangeShapeType="1"/>
                        </wps:cNvCnPr>
                        <wps:spPr bwMode="auto">
                          <a:xfrm>
                            <a:off x="5839" y="2913"/>
                            <a:ext cx="2977" cy="0"/>
                          </a:xfrm>
                          <a:prstGeom prst="line">
                            <a:avLst/>
                          </a:prstGeom>
                          <a:noFill/>
                          <a:ln w="71996">
                            <a:solidFill>
                              <a:srgbClr val="823113"/>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9"/>
                        <wps:cNvCnPr>
                          <a:cxnSpLocks noChangeShapeType="1"/>
                        </wps:cNvCnPr>
                        <wps:spPr bwMode="auto">
                          <a:xfrm>
                            <a:off x="8816" y="2913"/>
                            <a:ext cx="3090" cy="0"/>
                          </a:xfrm>
                          <a:prstGeom prst="line">
                            <a:avLst/>
                          </a:prstGeom>
                          <a:noFill/>
                          <a:ln w="71996">
                            <a:solidFill>
                              <a:srgbClr val="C9922B"/>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8" style="width:595.3pt;height:5.7pt;margin-top:131.4pt;margin-left:0.5pt;mso-position-horizontal-relative:page;mso-position-vertical-relative:page;position:absolute;z-index:251661312" coordorigin="0,2856" coordsize="11906,114">
                <v:line id="Line 6" o:spid="_x0000_s1029" style="mso-wrap-style:square;position:absolute;visibility:visible" from="0,2913" to="2863,2913" o:connectortype="straight" strokecolor="#224a73" strokeweight="5.67pt"/>
                <v:line id="Line 7" o:spid="_x0000_s1030" style="mso-wrap-style:square;position:absolute;visibility:visible" from="2863,2913" to="5839,2913" o:connectortype="straight" strokecolor="#b9bb30" strokeweight="5.67pt"/>
                <v:line id="Line 8" o:spid="_x0000_s1031" style="mso-wrap-style:square;position:absolute;visibility:visible" from="5839,2913" to="8816,2913" o:connectortype="straight" strokecolor="#823113" strokeweight="5.67pt"/>
                <v:line id="Line 9" o:spid="_x0000_s1032" style="mso-wrap-style:square;position:absolute;visibility:visible" from="8816,2913" to="11906,2913" o:connectortype="straight" strokecolor="#c9922b" strokeweight="5.67pt"/>
              </v:group>
            </w:pict>
          </mc:Fallback>
        </mc:AlternateContent>
      </w:r>
    </w:p>
    <w:tbl>
      <w:tblPr>
        <w:tblW w:w="9015" w:type="dxa"/>
        <w:tblLayout w:type="fixed"/>
        <w:tblLook w:val="04A0"/>
      </w:tblPr>
      <w:tblGrid>
        <w:gridCol w:w="9000"/>
        <w:gridCol w:w="15"/>
      </w:tblGrid>
      <w:tr w14:paraId="6E224311" w14:textId="77777777" w:rsidTr="00F45A3B">
        <w:tblPrEx>
          <w:tblW w:w="9015" w:type="dxa"/>
          <w:tblLayout w:type="fixed"/>
          <w:tblLook w:val="04A0"/>
        </w:tblPrEx>
        <w:trPr>
          <w:gridAfter w:val="1"/>
          <w:wAfter w:w="15" w:type="dxa"/>
        </w:trPr>
        <w:tc>
          <w:tcPr>
            <w:tcW w:w="9000" w:type="dxa"/>
            <w:tcBorders>
              <w:top w:val="single" w:sz="8" w:space="0" w:color="auto"/>
              <w:left w:val="single" w:sz="8" w:space="0" w:color="auto"/>
              <w:bottom w:val="single" w:sz="8" w:space="0" w:color="auto"/>
              <w:right w:val="single" w:sz="8" w:space="0" w:color="auto"/>
            </w:tcBorders>
            <w:shd w:val="clear" w:color="auto" w:fill="E4C895"/>
          </w:tcPr>
          <w:p w:rsidR="00FD3587" w:rsidRPr="008C380C" w:rsidP="00FD3587" w14:paraId="03E11D00" w14:textId="1BDA7368">
            <w:pPr>
              <w:spacing w:before="0" w:line="257" w:lineRule="auto"/>
              <w:rPr>
                <w:rFonts w:eastAsia="Arial" w:asciiTheme="minorHAnsi" w:hAnsiTheme="minorHAnsi" w:cstheme="minorHAnsi"/>
                <w:sz w:val="22"/>
              </w:rPr>
            </w:pPr>
            <w:r w:rsidRPr="008C380C">
              <w:rPr>
                <w:rFonts w:eastAsia="Arial" w:asciiTheme="minorHAnsi" w:hAnsiTheme="minorHAnsi" w:cstheme="minorHAnsi"/>
                <w:b/>
                <w:bCs/>
                <w:sz w:val="22"/>
              </w:rPr>
              <w:t>Pro</w:t>
            </w:r>
            <w:r w:rsidRPr="008C380C" w:rsidR="003137A3">
              <w:rPr>
                <w:rFonts w:eastAsia="Arial" w:asciiTheme="minorHAnsi" w:hAnsiTheme="minorHAnsi" w:cstheme="minorHAnsi"/>
                <w:b/>
                <w:bCs/>
                <w:sz w:val="22"/>
              </w:rPr>
              <w:t>posal</w:t>
            </w:r>
            <w:r w:rsidRPr="008C380C">
              <w:rPr>
                <w:rFonts w:eastAsia="Arial" w:asciiTheme="minorHAnsi" w:hAnsiTheme="minorHAnsi" w:cstheme="minorHAnsi"/>
                <w:b/>
                <w:bCs/>
                <w:sz w:val="22"/>
              </w:rPr>
              <w:t xml:space="preserve"> Details</w:t>
            </w:r>
            <w:r w:rsidRPr="008C380C" w:rsidR="00F45A3B">
              <w:rPr>
                <w:rFonts w:eastAsia="Arial" w:asciiTheme="minorHAnsi" w:hAnsiTheme="minorHAnsi" w:cstheme="minorHAnsi"/>
                <w:b/>
                <w:bCs/>
                <w:sz w:val="22"/>
              </w:rPr>
              <w:t>:</w:t>
            </w:r>
          </w:p>
        </w:tc>
      </w:tr>
      <w:tr w14:paraId="1BD23128" w14:textId="77777777" w:rsidTr="00F45A3B">
        <w:tblPrEx>
          <w:tblW w:w="9015" w:type="dxa"/>
          <w:tblLayout w:type="fixed"/>
          <w:tblLook w:val="04A0"/>
        </w:tblPrEx>
        <w:trPr>
          <w:gridAfter w:val="1"/>
          <w:wAfter w:w="15" w:type="dxa"/>
          <w:trHeight w:val="463"/>
        </w:trPr>
        <w:tc>
          <w:tcPr>
            <w:tcW w:w="9000" w:type="dxa"/>
            <w:tcBorders>
              <w:top w:val="single" w:sz="8" w:space="0" w:color="auto"/>
              <w:left w:val="single" w:sz="8" w:space="0" w:color="auto"/>
              <w:bottom w:val="single" w:sz="8" w:space="0" w:color="auto"/>
              <w:right w:val="single" w:sz="8" w:space="0" w:color="auto"/>
            </w:tcBorders>
            <w:shd w:val="clear" w:color="auto" w:fill="auto"/>
          </w:tcPr>
          <w:p w:rsidR="00F45A3B" w:rsidRPr="008C380C" w:rsidP="00F45A3B" w14:paraId="1A08FD54" w14:textId="77777777">
            <w:pPr>
              <w:spacing w:before="0" w:line="257" w:lineRule="auto"/>
              <w:rPr>
                <w:rFonts w:eastAsia="Arial" w:asciiTheme="minorHAnsi" w:hAnsiTheme="minorHAnsi" w:cstheme="minorHAnsi"/>
                <w:sz w:val="22"/>
              </w:rPr>
            </w:pPr>
            <w:r w:rsidRPr="008C380C">
              <w:rPr>
                <w:rFonts w:eastAsia="Arial" w:asciiTheme="minorHAnsi" w:hAnsiTheme="minorHAnsi" w:cstheme="minorHAnsi"/>
                <w:b/>
                <w:bCs/>
                <w:sz w:val="22"/>
              </w:rPr>
              <w:t xml:space="preserve">Proposal title  </w:t>
            </w:r>
            <w:r w:rsidRPr="008C380C">
              <w:rPr>
                <w:rFonts w:eastAsia="Arial" w:asciiTheme="minorHAnsi" w:hAnsiTheme="minorHAnsi" w:cstheme="minorHAnsi"/>
                <w:sz w:val="22"/>
              </w:rPr>
              <w:t xml:space="preserve"> </w:t>
            </w:r>
          </w:p>
          <w:p w:rsidR="008C380C" w:rsidRPr="008C380C" w:rsidP="00F45A3B" w14:paraId="32BE6AF1" w14:textId="4A202C05">
            <w:pPr>
              <w:spacing w:before="0" w:line="257" w:lineRule="auto"/>
              <w:rPr>
                <w:rFonts w:asciiTheme="minorHAnsi" w:hAnsiTheme="minorHAnsi" w:cstheme="minorHAnsi"/>
                <w:sz w:val="22"/>
              </w:rPr>
            </w:pPr>
            <w:r w:rsidRPr="008C380C">
              <w:rPr>
                <w:rFonts w:eastAsia="Arial" w:asciiTheme="minorHAnsi" w:hAnsiTheme="minorHAnsi" w:cstheme="minorHAnsi"/>
                <w:sz w:val="22"/>
              </w:rPr>
              <w:t>Greater Paraburdoo Iron Ore Hub</w:t>
            </w:r>
          </w:p>
        </w:tc>
      </w:tr>
      <w:tr w14:paraId="2E0C2711" w14:textId="77777777" w:rsidTr="00F45A3B">
        <w:tblPrEx>
          <w:tblW w:w="9015" w:type="dxa"/>
          <w:tblLayout w:type="fixed"/>
          <w:tblLook w:val="04A0"/>
        </w:tblPrEx>
        <w:trPr>
          <w:gridAfter w:val="1"/>
          <w:wAfter w:w="15" w:type="dxa"/>
        </w:trPr>
        <w:tc>
          <w:tcPr>
            <w:tcW w:w="9000" w:type="dxa"/>
            <w:tcBorders>
              <w:top w:val="single" w:sz="8" w:space="0" w:color="auto"/>
              <w:left w:val="single" w:sz="8" w:space="0" w:color="auto"/>
              <w:bottom w:val="single" w:sz="8" w:space="0" w:color="auto"/>
              <w:right w:val="single" w:sz="8" w:space="0" w:color="auto"/>
            </w:tcBorders>
            <w:shd w:val="clear" w:color="auto" w:fill="auto"/>
          </w:tcPr>
          <w:p w:rsidR="00F45A3B" w:rsidRPr="008C380C" w14:paraId="32EA38C2" w14:textId="77777777">
            <w:pPr>
              <w:rPr>
                <w:rFonts w:eastAsia="Arial" w:asciiTheme="minorHAnsi" w:hAnsiTheme="minorHAnsi" w:cstheme="minorHAnsi"/>
                <w:b/>
                <w:bCs/>
                <w:sz w:val="22"/>
              </w:rPr>
            </w:pPr>
            <w:r w:rsidRPr="008C380C">
              <w:rPr>
                <w:rFonts w:eastAsia="Arial" w:asciiTheme="minorHAnsi" w:hAnsiTheme="minorHAnsi" w:cstheme="minorHAnsi"/>
                <w:b/>
                <w:bCs/>
                <w:sz w:val="22"/>
              </w:rPr>
              <w:t xml:space="preserve">Proponent name  </w:t>
            </w:r>
          </w:p>
          <w:p w:rsidR="008C380C" w:rsidRPr="00030377" w14:paraId="0E987FD3" w14:textId="174D9809">
            <w:pPr>
              <w:rPr>
                <w:rFonts w:asciiTheme="minorHAnsi" w:hAnsiTheme="minorHAnsi" w:cstheme="minorHAnsi"/>
                <w:sz w:val="24"/>
                <w:szCs w:val="24"/>
              </w:rPr>
            </w:pPr>
            <w:r w:rsidRPr="00030377">
              <w:rPr>
                <w:rFonts w:asciiTheme="minorHAnsi" w:hAnsiTheme="minorHAnsi" w:cstheme="minorHAnsi"/>
                <w:sz w:val="24"/>
                <w:szCs w:val="24"/>
              </w:rPr>
              <w:t>Ebony Zhang</w:t>
            </w:r>
          </w:p>
        </w:tc>
      </w:tr>
      <w:tr w14:paraId="75641181" w14:textId="77777777" w:rsidTr="00F45A3B">
        <w:tblPrEx>
          <w:tblW w:w="9015" w:type="dxa"/>
          <w:tblLayout w:type="fixed"/>
          <w:tblLook w:val="04A0"/>
        </w:tblPrEx>
        <w:trPr>
          <w:gridAfter w:val="1"/>
          <w:wAfter w:w="15" w:type="dxa"/>
        </w:trPr>
        <w:tc>
          <w:tcPr>
            <w:tcW w:w="9000" w:type="dxa"/>
            <w:tcBorders>
              <w:top w:val="single" w:sz="8" w:space="0" w:color="auto"/>
              <w:left w:val="single" w:sz="8" w:space="0" w:color="auto"/>
              <w:bottom w:val="single" w:sz="8" w:space="0" w:color="auto"/>
              <w:right w:val="single" w:sz="8" w:space="0" w:color="auto"/>
            </w:tcBorders>
            <w:shd w:val="clear" w:color="auto" w:fill="auto"/>
          </w:tcPr>
          <w:p w:rsidR="00F45A3B" w:rsidRPr="008C380C" w14:paraId="67265F8B" w14:textId="77777777">
            <w:pPr>
              <w:rPr>
                <w:rFonts w:eastAsia="Arial" w:asciiTheme="minorHAnsi" w:hAnsiTheme="minorHAnsi" w:cstheme="minorHAnsi"/>
                <w:b/>
                <w:bCs/>
                <w:sz w:val="22"/>
              </w:rPr>
            </w:pPr>
            <w:r w:rsidRPr="008C380C">
              <w:rPr>
                <w:rFonts w:eastAsia="Arial" w:asciiTheme="minorHAnsi" w:hAnsiTheme="minorHAnsi" w:cstheme="minorHAnsi"/>
                <w:b/>
                <w:bCs/>
                <w:sz w:val="22"/>
              </w:rPr>
              <w:t xml:space="preserve">Short description  </w:t>
            </w:r>
          </w:p>
          <w:p w:rsidR="008C380C" w:rsidRPr="008C380C" w:rsidP="00BC0B6A" w14:paraId="68BD1DD8" w14:textId="4FBE6A14">
            <w:pPr>
              <w:tabs>
                <w:tab w:val="left" w:pos="3015"/>
              </w:tabs>
              <w:rPr>
                <w:rFonts w:asciiTheme="minorHAnsi" w:hAnsiTheme="minorHAnsi" w:cstheme="minorHAnsi"/>
                <w:sz w:val="22"/>
              </w:rPr>
            </w:pPr>
            <w:r w:rsidRPr="008C380C">
              <w:rPr>
                <w:rFonts w:asciiTheme="minorHAnsi" w:hAnsiTheme="minorHAnsi" w:cstheme="minorHAnsi"/>
                <w:sz w:val="22"/>
              </w:rPr>
              <w:t>Hamersley Iron Pty Limited (the Proponent) operates the existing Paraburdoo and Eastern Range iron ore mines which are located approximately 6 km south of the town of Paraburdoo in the Pilbara Region of Western Australia (WA) (Figure ES 1). The Proponent proposes to sustain production by expanding these existing operations and also developing a new deposit at Western Range. These developments collectively make up the Greater Paraburdoo Iron Ore Hub (the Proposal). This Proposal is an integral part of the Rio Tinto Group (Rio Tinto) integrated network of iron ore mines in the Pilbara.</w:t>
            </w:r>
            <w:r w:rsidR="00BC0B6A">
              <w:rPr>
                <w:rFonts w:asciiTheme="minorHAnsi" w:hAnsiTheme="minorHAnsi" w:cstheme="minorHAnsi"/>
                <w:sz w:val="22"/>
              </w:rPr>
              <w:tab/>
            </w:r>
          </w:p>
        </w:tc>
      </w:tr>
      <w:tr w14:paraId="55A242EE" w14:textId="77777777" w:rsidTr="00F45A3B">
        <w:tblPrEx>
          <w:tblW w:w="9015" w:type="dxa"/>
          <w:tblLayout w:type="fixed"/>
          <w:tblLook w:val="04A0"/>
        </w:tblPrEx>
        <w:trPr>
          <w:trHeight w:val="300"/>
        </w:trPr>
        <w:tc>
          <w:tcPr>
            <w:tcW w:w="9015" w:type="dxa"/>
            <w:gridSpan w:val="2"/>
            <w:tcBorders>
              <w:top w:val="single" w:sz="8" w:space="0" w:color="auto"/>
              <w:left w:val="single" w:sz="8" w:space="0" w:color="auto"/>
              <w:bottom w:val="single" w:sz="8" w:space="0" w:color="auto"/>
              <w:right w:val="single" w:sz="8" w:space="0" w:color="auto"/>
            </w:tcBorders>
            <w:shd w:val="clear" w:color="auto" w:fill="E4C895"/>
          </w:tcPr>
          <w:p w:rsidR="003137A3" w:rsidRPr="008C380C" w:rsidP="00DE0665" w14:paraId="766D2E9D" w14:textId="5A2A17A8">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Proposal Elements</w:t>
            </w:r>
            <w:r w:rsidRPr="008C380C" w:rsidR="00F45A3B">
              <w:rPr>
                <w:rFonts w:eastAsia="Arial" w:asciiTheme="minorHAnsi" w:hAnsiTheme="minorHAnsi" w:cstheme="minorHAnsi"/>
                <w:b/>
                <w:bCs/>
                <w:sz w:val="22"/>
              </w:rPr>
              <w:t>:</w:t>
            </w:r>
          </w:p>
        </w:tc>
      </w:tr>
      <w:tr w14:paraId="4F9355CA" w14:textId="77777777" w:rsidTr="00777DD3">
        <w:tblPrEx>
          <w:tblW w:w="9015" w:type="dxa"/>
          <w:tblLayout w:type="fixed"/>
          <w:tblLook w:val="04A0"/>
        </w:tblPrEx>
        <w:trPr>
          <w:trHeight w:val="1027"/>
        </w:trPr>
        <w:tc>
          <w:tcPr>
            <w:tcW w:w="9015" w:type="dxa"/>
            <w:gridSpan w:val="2"/>
            <w:tcBorders>
              <w:top w:val="single" w:sz="8" w:space="0" w:color="auto"/>
              <w:left w:val="single" w:sz="8" w:space="0" w:color="auto"/>
              <w:right w:val="single" w:sz="8" w:space="0" w:color="auto"/>
            </w:tcBorders>
          </w:tcPr>
          <w:p w:rsidR="008C380C" w:rsidP="008C380C" w14:paraId="0CC739B0" w14:textId="763F0F09">
            <w:pPr>
              <w:spacing w:line="257" w:lineRule="auto"/>
              <w:rPr>
                <w:rFonts w:eastAsia="Arial" w:asciiTheme="minorHAnsi" w:hAnsiTheme="minorHAnsi" w:cstheme="minorHAnsi"/>
                <w:sz w:val="22"/>
                <w:u w:val="single"/>
              </w:rPr>
            </w:pPr>
            <w:r w:rsidRPr="008C380C">
              <w:rPr>
                <w:rFonts w:eastAsia="Arial" w:asciiTheme="minorHAnsi" w:hAnsiTheme="minorHAnsi" w:cstheme="minorHAnsi"/>
                <w:sz w:val="22"/>
                <w:u w:val="single"/>
              </w:rPr>
              <w:t xml:space="preserve">Element </w:t>
            </w:r>
            <w:r w:rsidRPr="008C380C">
              <w:rPr>
                <w:rFonts w:eastAsia="Arial" w:asciiTheme="minorHAnsi" w:hAnsiTheme="minorHAnsi" w:cstheme="minorHAnsi"/>
                <w:sz w:val="22"/>
                <w:u w:val="single"/>
              </w:rPr>
              <w:t>1</w:t>
            </w:r>
            <w:r w:rsidRPr="008C380C">
              <w:rPr>
                <w:rFonts w:eastAsia="Arial" w:asciiTheme="minorHAnsi" w:hAnsiTheme="minorHAnsi" w:cstheme="minorHAnsi"/>
                <w:sz w:val="22"/>
                <w:u w:val="single"/>
              </w:rPr>
              <w:t xml:space="preserve">: </w:t>
            </w:r>
            <w:r w:rsidRPr="008C380C">
              <w:rPr>
                <w:rFonts w:eastAsia="Arial" w:asciiTheme="minorHAnsi" w:hAnsiTheme="minorHAnsi" w:cstheme="minorHAnsi"/>
                <w:sz w:val="22"/>
                <w:u w:val="single"/>
              </w:rPr>
              <w:t>open pit(s) (above water table)-801</w:t>
            </w:r>
          </w:p>
          <w:p w:rsidR="008C380C" w:rsidRPr="008C380C" w:rsidP="008C380C" w14:paraId="6C30D5E9" w14:textId="289E64BA">
            <w:pPr>
              <w:pStyle w:val="ListParagraph"/>
              <w:numPr>
                <w:ilvl w:val="0"/>
                <w:numId w:val="25"/>
              </w:numPr>
              <w:spacing w:line="257" w:lineRule="auto"/>
              <w:rPr>
                <w:rFonts w:eastAsia="Arial" w:asciiTheme="minorHAnsi" w:hAnsiTheme="minorHAnsi" w:cstheme="minorHAnsi"/>
                <w:sz w:val="22"/>
                <w:u w:val="single"/>
              </w:rPr>
            </w:pPr>
            <w:r>
              <w:rPr>
                <w:rFonts w:eastAsia="Arial" w:asciiTheme="minorHAnsi" w:hAnsiTheme="minorHAnsi" w:cstheme="minorHAnsi"/>
                <w:sz w:val="22"/>
              </w:rPr>
              <w:t xml:space="preserve">Maximum Extent: </w:t>
            </w:r>
            <w:r>
              <w:rPr>
                <w:rFonts w:eastAsia="Arial" w:asciiTheme="minorHAnsi" w:hAnsiTheme="minorHAnsi" w:cstheme="minorHAnsi"/>
                <w:sz w:val="22"/>
              </w:rPr>
              <w:t>AWT pits at Western Range ( ha), at Paraburdoo ( ha) and Eastern Range ( ha).</w:t>
            </w:r>
          </w:p>
          <w:p w:rsidR="008C380C" w:rsidP="008C380C" w14:paraId="51FCC664"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1</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Clearing of native vegetation</w:t>
            </w:r>
          </w:p>
          <w:p w:rsidR="008C380C" w:rsidP="008C380C" w14:paraId="1DD3969F"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paraId="516FAC38"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Construction</w:t>
            </w:r>
          </w:p>
          <w:p w:rsidR="008C380C" w:rsidP="008C380C" w14:paraId="418DE6C9"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paraId="4455AE39"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See Figure ES-2 for the proposed pit footprints. 2000 ha of native vegetation will required to be cleared for mine pits.</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2</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Excavation and blasting of rock/ore</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Operational</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5000 tonnes of iron ore will be excavated from the mine pits and will be transported and processed. The AWT footprints will be 2000 ha (figure ES-2).</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3</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Mine pit backfill</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Decommissioning</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Progressive rehabilitation will occur after all ore has been excavated from the mine pits. Mine pit closure plans and rehabilitation summary are presented in attachments A5-1 to A5-4.</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4</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Mine pit revegetation</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Decommissioning</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Progressive rehabilitation will occur after the mine pits have been backfilled. The rehabilitation plans are presented in appendix A5-1 to A5-5. All 2000 ha of open pits will be revegetation to the appropriate standards.</w:t>
            </w:r>
          </w:p>
          <w:p w:rsidR="008C380C" w:rsidP="008C380C" w14:textId="763F0F09">
            <w:pPr>
              <w:spacing w:line="257" w:lineRule="auto"/>
              <w:rPr>
                <w:rFonts w:eastAsia="Arial" w:asciiTheme="minorHAnsi" w:hAnsiTheme="minorHAnsi" w:cstheme="minorHAnsi"/>
                <w:sz w:val="22"/>
                <w:u w:val="single"/>
              </w:rPr>
            </w:pPr>
            <w:r w:rsidRPr="008C380C">
              <w:rPr>
                <w:rFonts w:eastAsia="Arial" w:asciiTheme="minorHAnsi" w:hAnsiTheme="minorHAnsi" w:cstheme="minorHAnsi"/>
                <w:sz w:val="22"/>
                <w:u w:val="single"/>
              </w:rPr>
              <w:t xml:space="preserve">Element </w:t>
            </w:r>
            <w:r w:rsidRPr="008C380C">
              <w:rPr>
                <w:rFonts w:eastAsia="Arial" w:asciiTheme="minorHAnsi" w:hAnsiTheme="minorHAnsi" w:cstheme="minorHAnsi"/>
                <w:sz w:val="22"/>
                <w:u w:val="single"/>
              </w:rPr>
              <w:t>2</w:t>
            </w:r>
            <w:r w:rsidRPr="008C380C">
              <w:rPr>
                <w:rFonts w:eastAsia="Arial" w:asciiTheme="minorHAnsi" w:hAnsiTheme="minorHAnsi" w:cstheme="minorHAnsi"/>
                <w:sz w:val="22"/>
                <w:u w:val="single"/>
              </w:rPr>
              <w:t xml:space="preserve">: </w:t>
            </w:r>
            <w:r w:rsidRPr="008C380C">
              <w:rPr>
                <w:rFonts w:eastAsia="Arial" w:asciiTheme="minorHAnsi" w:hAnsiTheme="minorHAnsi" w:cstheme="minorHAnsi"/>
                <w:sz w:val="22"/>
                <w:u w:val="single"/>
              </w:rPr>
              <w:t>processing plant-801</w:t>
            </w:r>
          </w:p>
          <w:p w:rsidR="008C380C" w:rsidRPr="008C380C" w:rsidP="008C380C" w14:textId="289E64BA">
            <w:pPr>
              <w:pStyle w:val="ListParagraph"/>
              <w:numPr>
                <w:ilvl w:val="0"/>
                <w:numId w:val="25"/>
              </w:numPr>
              <w:spacing w:line="257" w:lineRule="auto"/>
              <w:rPr>
                <w:rFonts w:eastAsia="Arial" w:asciiTheme="minorHAnsi" w:hAnsiTheme="minorHAnsi" w:cstheme="minorHAnsi"/>
                <w:sz w:val="22"/>
                <w:u w:val="single"/>
              </w:rPr>
            </w:pPr>
            <w:r>
              <w:rPr>
                <w:rFonts w:eastAsia="Arial" w:asciiTheme="minorHAnsi" w:hAnsiTheme="minorHAnsi" w:cstheme="minorHAnsi"/>
                <w:sz w:val="22"/>
              </w:rPr>
              <w:t xml:space="preserve">Maximum Extent: </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1</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Clearing native vegetation</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Construction</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50 ha of native vegetation will be cleared for the processing plant.</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2</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Decommissioning and removal of processing plant.</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Decommissioning</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After operations have finished, the decommissioning stage will begin where the processing plant will be removed.</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3</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Processing ore</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Operational</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3000 tonnes of iron ore will be processed at the processing plant. The location of the plant is seen in Figure 2-4</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4</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Revegetation</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Decommissioning</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After the processing plant is removed post-operational stage, revegetation efforts will ensure the site is restored to an adequate condition.</w:t>
            </w:r>
          </w:p>
          <w:p w:rsidR="008C380C" w:rsidP="008C380C" w14:textId="763F0F09">
            <w:pPr>
              <w:spacing w:line="257" w:lineRule="auto"/>
              <w:rPr>
                <w:rFonts w:eastAsia="Arial" w:asciiTheme="minorHAnsi" w:hAnsiTheme="minorHAnsi" w:cstheme="minorHAnsi"/>
                <w:sz w:val="22"/>
                <w:u w:val="single"/>
              </w:rPr>
            </w:pPr>
            <w:r w:rsidRPr="008C380C">
              <w:rPr>
                <w:rFonts w:eastAsia="Arial" w:asciiTheme="minorHAnsi" w:hAnsiTheme="minorHAnsi" w:cstheme="minorHAnsi"/>
                <w:sz w:val="22"/>
                <w:u w:val="single"/>
              </w:rPr>
              <w:t xml:space="preserve">Element </w:t>
            </w:r>
            <w:r w:rsidRPr="008C380C">
              <w:rPr>
                <w:rFonts w:eastAsia="Arial" w:asciiTheme="minorHAnsi" w:hAnsiTheme="minorHAnsi" w:cstheme="minorHAnsi"/>
                <w:sz w:val="22"/>
                <w:u w:val="single"/>
              </w:rPr>
              <w:t>3</w:t>
            </w:r>
            <w:r w:rsidRPr="008C380C">
              <w:rPr>
                <w:rFonts w:eastAsia="Arial" w:asciiTheme="minorHAnsi" w:hAnsiTheme="minorHAnsi" w:cstheme="minorHAnsi"/>
                <w:sz w:val="22"/>
                <w:u w:val="single"/>
              </w:rPr>
              <w:t xml:space="preserve">: </w:t>
            </w:r>
            <w:r w:rsidRPr="008C380C">
              <w:rPr>
                <w:rFonts w:eastAsia="Arial" w:asciiTheme="minorHAnsi" w:hAnsiTheme="minorHAnsi" w:cstheme="minorHAnsi"/>
                <w:sz w:val="22"/>
                <w:u w:val="single"/>
              </w:rPr>
              <w:t>stockpile topsoil-801</w:t>
            </w:r>
          </w:p>
          <w:p w:rsidR="008C380C" w:rsidRPr="008C380C" w:rsidP="008C380C" w14:textId="289E64BA">
            <w:pPr>
              <w:pStyle w:val="ListParagraph"/>
              <w:numPr>
                <w:ilvl w:val="0"/>
                <w:numId w:val="25"/>
              </w:numPr>
              <w:spacing w:line="257" w:lineRule="auto"/>
              <w:rPr>
                <w:rFonts w:eastAsia="Arial" w:asciiTheme="minorHAnsi" w:hAnsiTheme="minorHAnsi" w:cstheme="minorHAnsi"/>
                <w:sz w:val="22"/>
                <w:u w:val="single"/>
              </w:rPr>
            </w:pPr>
            <w:r>
              <w:rPr>
                <w:rFonts w:eastAsia="Arial" w:asciiTheme="minorHAnsi" w:hAnsiTheme="minorHAnsi" w:cstheme="minorHAnsi"/>
                <w:sz w:val="22"/>
              </w:rPr>
              <w:t xml:space="preserve">Maximum Extent: </w:t>
            </w:r>
            <w:r>
              <w:rPr>
                <w:rFonts w:eastAsia="Arial" w:asciiTheme="minorHAnsi" w:hAnsiTheme="minorHAnsi" w:cstheme="minorHAnsi"/>
                <w:sz w:val="22"/>
              </w:rPr>
              <w:t>100 ha</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1</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Clearing of native vegetation</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Construction</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100 ha of Native vegetation will be cleared to allow for topsoil to be stored.</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2</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Rehabilitation of topsoil</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Decommissioning</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Progressive rehabilitation will be performed after the operational stage, where topsoil will be transported and backfilled into the mine pits.</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3</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Storage of topsoil</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Operational</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Waste dump sites are located in Figure 2-1 and 2-2. Approximately 100 ha of land will be needed for topsoil storage, which will host up to 1000 ha of topsoil separated by soil profiles.</w:t>
            </w:r>
          </w:p>
          <w:p w:rsidR="008C380C" w:rsidP="008C380C" w14:textId="763F0F09">
            <w:pPr>
              <w:spacing w:line="257" w:lineRule="auto"/>
              <w:rPr>
                <w:rFonts w:eastAsia="Arial" w:asciiTheme="minorHAnsi" w:hAnsiTheme="minorHAnsi" w:cstheme="minorHAnsi"/>
                <w:sz w:val="22"/>
                <w:u w:val="single"/>
              </w:rPr>
            </w:pPr>
            <w:r w:rsidRPr="008C380C">
              <w:rPr>
                <w:rFonts w:eastAsia="Arial" w:asciiTheme="minorHAnsi" w:hAnsiTheme="minorHAnsi" w:cstheme="minorHAnsi"/>
                <w:sz w:val="22"/>
                <w:u w:val="single"/>
              </w:rPr>
              <w:t xml:space="preserve">Element </w:t>
            </w:r>
            <w:r w:rsidRPr="008C380C">
              <w:rPr>
                <w:rFonts w:eastAsia="Arial" w:asciiTheme="minorHAnsi" w:hAnsiTheme="minorHAnsi" w:cstheme="minorHAnsi"/>
                <w:sz w:val="22"/>
                <w:u w:val="single"/>
              </w:rPr>
              <w:t>4</w:t>
            </w:r>
            <w:r w:rsidRPr="008C380C">
              <w:rPr>
                <w:rFonts w:eastAsia="Arial" w:asciiTheme="minorHAnsi" w:hAnsiTheme="minorHAnsi" w:cstheme="minorHAnsi"/>
                <w:sz w:val="22"/>
                <w:u w:val="single"/>
              </w:rPr>
              <w:t xml:space="preserve">: </w:t>
            </w:r>
            <w:r w:rsidRPr="008C380C">
              <w:rPr>
                <w:rFonts w:eastAsia="Arial" w:asciiTheme="minorHAnsi" w:hAnsiTheme="minorHAnsi" w:cstheme="minorHAnsi"/>
                <w:sz w:val="22"/>
                <w:u w:val="single"/>
              </w:rPr>
              <w:t>supporting Infrastructure (eg offices, workshops, hardstand)-801</w:t>
            </w:r>
          </w:p>
          <w:p w:rsidR="008C380C" w:rsidRPr="008C380C" w:rsidP="008C380C" w14:textId="289E64BA">
            <w:pPr>
              <w:pStyle w:val="ListParagraph"/>
              <w:numPr>
                <w:ilvl w:val="0"/>
                <w:numId w:val="25"/>
              </w:numPr>
              <w:spacing w:line="257" w:lineRule="auto"/>
              <w:rPr>
                <w:rFonts w:eastAsia="Arial" w:asciiTheme="minorHAnsi" w:hAnsiTheme="minorHAnsi" w:cstheme="minorHAnsi"/>
                <w:sz w:val="22"/>
                <w:u w:val="single"/>
              </w:rPr>
            </w:pPr>
            <w:r>
              <w:rPr>
                <w:rFonts w:eastAsia="Arial" w:asciiTheme="minorHAnsi" w:hAnsiTheme="minorHAnsi" w:cstheme="minorHAnsi"/>
                <w:sz w:val="22"/>
              </w:rPr>
              <w:t xml:space="preserve">Maximum Extent: </w:t>
            </w:r>
            <w:r>
              <w:rPr>
                <w:rFonts w:eastAsia="Arial" w:asciiTheme="minorHAnsi" w:hAnsiTheme="minorHAnsi" w:cstheme="minorHAnsi"/>
                <w:sz w:val="22"/>
              </w:rPr>
              <w:t>100 ha</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1</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Clearing of Native Vegetation</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Construction</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100 ha</w:t>
            </w:r>
          </w:p>
          <w:p w:rsidR="008C380C" w:rsidP="008C380C" w14:textId="74468BD7">
            <w:pPr>
              <w:pStyle w:val="ListParagraph"/>
              <w:numPr>
                <w:ilvl w:val="0"/>
                <w:numId w:val="25"/>
              </w:numPr>
              <w:spacing w:before="0" w:line="257" w:lineRule="auto"/>
              <w:rPr>
                <w:rFonts w:eastAsia="Arial" w:asciiTheme="minorHAnsi" w:hAnsiTheme="minorHAnsi" w:cstheme="minorHAnsi"/>
                <w:sz w:val="22"/>
                <w:szCs w:val="22"/>
              </w:rPr>
            </w:pPr>
            <w:r w:rsidRPr="008C380C">
              <w:rPr>
                <w:rFonts w:eastAsia="Arial" w:asciiTheme="minorHAnsi" w:hAnsiTheme="minorHAnsi" w:cstheme="minorHAnsi"/>
                <w:sz w:val="22"/>
                <w:szCs w:val="22"/>
              </w:rPr>
              <w:t xml:space="preserve">Associated activity element </w:t>
            </w:r>
            <w:r w:rsidRPr="008C380C">
              <w:rPr>
                <w:rFonts w:eastAsia="Arial" w:asciiTheme="minorHAnsi" w:hAnsiTheme="minorHAnsi" w:cstheme="minorHAnsi"/>
                <w:sz w:val="22"/>
                <w:szCs w:val="22"/>
              </w:rPr>
              <w:t>2</w:t>
            </w:r>
            <w:r w:rsidRPr="008C380C">
              <w:rPr>
                <w:rFonts w:eastAsia="Arial" w:asciiTheme="minorHAnsi" w:hAnsiTheme="minorHAnsi" w:cstheme="minorHAnsi"/>
                <w:sz w:val="22"/>
                <w:szCs w:val="22"/>
              </w:rPr>
              <w:t xml:space="preserve">: </w:t>
            </w:r>
            <w:r w:rsidRPr="008C380C">
              <w:rPr>
                <w:rFonts w:eastAsia="Arial" w:asciiTheme="minorHAnsi" w:hAnsiTheme="minorHAnsi" w:cstheme="minorHAnsi"/>
                <w:sz w:val="22"/>
                <w:szCs w:val="22"/>
              </w:rPr>
              <w:t>Construction of supporting infrastructure</w:t>
            </w:r>
          </w:p>
          <w:p w:rsidR="008C380C" w:rsidP="008C380C" w14:textId="77777777">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 xml:space="preserve">Phase </w:t>
            </w:r>
          </w:p>
          <w:p w:rsidR="008C380C" w:rsidP="008C380C" w14:textId="1D95FB3A">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Construction</w:t>
            </w:r>
          </w:p>
          <w:p w:rsidR="008C380C" w:rsidP="008C380C" w14:textId="5AC4A0B2">
            <w:pPr>
              <w:pStyle w:val="ListParagraph"/>
              <w:numPr>
                <w:ilvl w:val="1"/>
                <w:numId w:val="25"/>
              </w:numPr>
              <w:spacing w:before="0" w:line="257" w:lineRule="auto"/>
              <w:rPr>
                <w:rFonts w:eastAsia="Arial" w:asciiTheme="minorHAnsi" w:hAnsiTheme="minorHAnsi" w:cstheme="minorHAnsi"/>
                <w:sz w:val="22"/>
                <w:szCs w:val="22"/>
              </w:rPr>
            </w:pPr>
            <w:r>
              <w:rPr>
                <w:rFonts w:eastAsia="Arial" w:asciiTheme="minorHAnsi" w:hAnsiTheme="minorHAnsi" w:cstheme="minorHAnsi"/>
                <w:sz w:val="22"/>
                <w:szCs w:val="22"/>
              </w:rPr>
              <w:t>Maximum extent, range or capacity of this activity</w:t>
            </w:r>
          </w:p>
          <w:p w:rsidR="008C380C" w:rsidRPr="008C380C" w:rsidP="008C380C" w14:textId="57C72E95">
            <w:pPr>
              <w:pStyle w:val="ListParagraph"/>
              <w:spacing w:before="0" w:line="257" w:lineRule="auto"/>
              <w:ind w:left="1440"/>
              <w:rPr>
                <w:rFonts w:eastAsia="Arial" w:asciiTheme="minorHAnsi" w:hAnsiTheme="minorHAnsi" w:cstheme="minorHAnsi"/>
                <w:sz w:val="22"/>
                <w:szCs w:val="22"/>
              </w:rPr>
            </w:pPr>
            <w:r>
              <w:rPr>
                <w:rFonts w:eastAsia="Arial" w:asciiTheme="minorHAnsi" w:hAnsiTheme="minorHAnsi" w:cstheme="minorHAnsi"/>
                <w:sz w:val="22"/>
                <w:szCs w:val="22"/>
              </w:rPr>
              <w:t>Supporting infrastructure will be constructed with a maximum extent of 20 ha.</w:t>
            </w:r>
          </w:p>
          <w:p w:rsidR="00305AE2" w:rsidRPr="008C380C" w:rsidP="008C380C" w14:paraId="5815C769" w14:textId="1EC217DC">
            <w:pPr>
              <w:spacing w:before="0" w:line="257" w:lineRule="auto"/>
              <w:rPr>
                <w:rFonts w:eastAsia="Arial" w:asciiTheme="minorHAnsi" w:hAnsiTheme="minorHAnsi" w:cstheme="minorHAnsi"/>
                <w:sz w:val="22"/>
                <w:u w:val="single"/>
              </w:rPr>
            </w:pPr>
          </w:p>
        </w:tc>
      </w:tr>
      <w:tr w14:paraId="36FC52F8" w14:textId="77777777" w:rsidTr="00F45A3B">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E4C895"/>
          </w:tcPr>
          <w:p w:rsidR="00675BB8" w:rsidRPr="008C380C" w:rsidP="00872D60" w14:paraId="62ECF192" w14:textId="4DC0C25C">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Proposal Stages:</w:t>
            </w:r>
          </w:p>
        </w:tc>
      </w:tr>
      <w:tr w14:paraId="57AF7DD6" w14:textId="77777777" w:rsidTr="00F45A3B">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8C380C" w:rsidP="00872D60" w14:paraId="1F3BDA78" w14:textId="77777777">
            <w:pPr>
              <w:spacing w:before="0" w:line="257" w:lineRule="auto"/>
              <w:rPr>
                <w:rFonts w:eastAsia="Arial" w:asciiTheme="minorHAnsi" w:hAnsiTheme="minorHAnsi" w:cstheme="minorHAnsi"/>
                <w:b/>
                <w:bCs/>
                <w:sz w:val="22"/>
              </w:rPr>
            </w:pPr>
            <w:bookmarkStart w:id="0" w:name="_Hlk106650834"/>
            <w:r w:rsidRPr="008C380C">
              <w:rPr>
                <w:rFonts w:eastAsia="Arial" w:asciiTheme="minorHAnsi" w:hAnsiTheme="minorHAnsi" w:cstheme="minorHAnsi"/>
                <w:b/>
                <w:bCs/>
                <w:sz w:val="22"/>
              </w:rPr>
              <w:t>Maximum pro</w:t>
            </w:r>
            <w:r w:rsidRPr="008C380C" w:rsidR="00906502">
              <w:rPr>
                <w:rFonts w:eastAsia="Arial" w:asciiTheme="minorHAnsi" w:hAnsiTheme="minorHAnsi" w:cstheme="minorHAnsi"/>
                <w:b/>
                <w:bCs/>
                <w:sz w:val="22"/>
              </w:rPr>
              <w:t>posal</w:t>
            </w:r>
            <w:r w:rsidRPr="008C380C">
              <w:rPr>
                <w:rFonts w:eastAsia="Arial" w:asciiTheme="minorHAnsi" w:hAnsiTheme="minorHAnsi" w:cstheme="minorHAnsi"/>
                <w:b/>
                <w:bCs/>
                <w:sz w:val="22"/>
              </w:rPr>
              <w:t xml:space="preserve"> life</w:t>
            </w:r>
            <w:r>
              <w:rPr>
                <w:rFonts w:eastAsia="Arial" w:asciiTheme="minorHAnsi" w:hAnsiTheme="minorHAnsi" w:cstheme="minorHAnsi"/>
                <w:b/>
                <w:bCs/>
                <w:sz w:val="22"/>
              </w:rPr>
              <w:t xml:space="preserve">     </w:t>
            </w:r>
          </w:p>
          <w:p w:rsidR="00F45A3B" w:rsidRPr="008C380C" w:rsidP="00872D60" w14:paraId="02C84298" w14:textId="3D41C553">
            <w:pPr>
              <w:spacing w:before="0" w:line="257" w:lineRule="auto"/>
              <w:rPr>
                <w:rFonts w:eastAsia="Arial" w:asciiTheme="minorHAnsi" w:hAnsiTheme="minorHAnsi" w:cstheme="minorHAnsi"/>
                <w:sz w:val="22"/>
              </w:rPr>
            </w:pPr>
            <w:r>
              <w:rPr>
                <w:rFonts w:eastAsia="Arial" w:asciiTheme="minorHAnsi" w:hAnsiTheme="minorHAnsi" w:cstheme="minorHAnsi"/>
                <w:sz w:val="22"/>
              </w:rPr>
              <w:t>20</w:t>
            </w:r>
          </w:p>
        </w:tc>
      </w:tr>
      <w:tr w14:paraId="2FDE0EE8" w14:textId="77777777" w:rsidTr="0026578A">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8C380C" w:rsidP="00872D60" w14:paraId="62161F11" w14:textId="77777777">
            <w:pPr>
              <w:spacing w:before="0" w:line="257" w:lineRule="auto"/>
              <w:rPr>
                <w:rFonts w:eastAsia="Arial" w:asciiTheme="minorHAnsi" w:hAnsiTheme="minorHAnsi" w:cstheme="minorHAnsi"/>
                <w:color w:val="000000" w:themeColor="text1"/>
                <w:sz w:val="22"/>
              </w:rPr>
            </w:pPr>
            <w:r w:rsidRPr="008C380C">
              <w:rPr>
                <w:rFonts w:eastAsia="Arial" w:asciiTheme="minorHAnsi" w:hAnsiTheme="minorHAnsi" w:cstheme="minorHAnsi"/>
                <w:b/>
                <w:bCs/>
                <w:sz w:val="22"/>
              </w:rPr>
              <w:t>Proposed start date</w:t>
            </w:r>
            <w:r w:rsidRPr="008C380C" w:rsidR="550F49A5">
              <w:rPr>
                <w:rFonts w:eastAsia="Arial" w:asciiTheme="minorHAnsi" w:hAnsiTheme="minorHAnsi" w:cstheme="minorHAnsi"/>
                <w:color w:val="000000" w:themeColor="text1"/>
                <w:sz w:val="22"/>
              </w:rPr>
              <w:t xml:space="preserve"> </w:t>
            </w:r>
            <w:r>
              <w:rPr>
                <w:rFonts w:eastAsia="Arial" w:asciiTheme="minorHAnsi" w:hAnsiTheme="minorHAnsi" w:cstheme="minorHAnsi"/>
                <w:color w:val="000000" w:themeColor="text1"/>
                <w:sz w:val="22"/>
              </w:rPr>
              <w:t xml:space="preserve">          </w:t>
            </w:r>
          </w:p>
          <w:p w:rsidR="550F49A5" w:rsidRPr="008C380C" w:rsidP="00872D60" w14:paraId="4F16F83F" w14:textId="5638F4D9">
            <w:pPr>
              <w:spacing w:before="0" w:line="257" w:lineRule="auto"/>
              <w:rPr>
                <w:rFonts w:asciiTheme="minorHAnsi" w:hAnsiTheme="minorHAnsi" w:cstheme="minorHAnsi"/>
                <w:sz w:val="22"/>
              </w:rPr>
            </w:pPr>
            <w:r>
              <w:rPr>
                <w:rFonts w:eastAsia="Arial" w:asciiTheme="minorHAnsi" w:hAnsiTheme="minorHAnsi" w:cstheme="minorHAnsi"/>
                <w:color w:val="000000" w:themeColor="text1"/>
                <w:sz w:val="22"/>
              </w:rPr>
              <w:t>6/25/2022 12:00:00 AM</w:t>
            </w:r>
          </w:p>
        </w:tc>
      </w:tr>
      <w:tr w14:paraId="401DC8AD" w14:textId="77777777" w:rsidTr="0026578A">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8C380C" w:rsidP="00872D60" w14:paraId="35A8667C"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Proposed end date</w:t>
            </w:r>
            <w:r>
              <w:rPr>
                <w:rFonts w:eastAsia="Arial" w:asciiTheme="minorHAnsi" w:hAnsiTheme="minorHAnsi" w:cstheme="minorHAnsi"/>
                <w:b/>
                <w:bCs/>
                <w:sz w:val="22"/>
              </w:rPr>
              <w:t xml:space="preserve">            </w:t>
            </w:r>
          </w:p>
          <w:p w:rsidR="00410E1B" w:rsidRPr="008C380C" w:rsidP="00872D60" w14:paraId="255EC7A5" w14:textId="05B2C125">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12/6/2042 12:00:00 AM</w:t>
            </w:r>
          </w:p>
        </w:tc>
      </w:tr>
      <w:tr w14:paraId="0B8C2C80" w14:textId="77777777" w:rsidTr="0026578A">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8C380C" w:rsidP="00872D60" w14:paraId="2AFE89F8"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Construction phase len</w:t>
            </w:r>
            <w:r w:rsidRPr="008C380C" w:rsidR="0026578A">
              <w:rPr>
                <w:rFonts w:eastAsia="Arial" w:asciiTheme="minorHAnsi" w:hAnsiTheme="minorHAnsi" w:cstheme="minorHAnsi"/>
                <w:b/>
                <w:bCs/>
                <w:sz w:val="22"/>
              </w:rPr>
              <w:t>gth</w:t>
            </w:r>
            <w:r>
              <w:rPr>
                <w:rFonts w:eastAsia="Arial" w:asciiTheme="minorHAnsi" w:hAnsiTheme="minorHAnsi" w:cstheme="minorHAnsi"/>
                <w:b/>
                <w:bCs/>
                <w:sz w:val="22"/>
              </w:rPr>
              <w:t xml:space="preserve">  </w:t>
            </w:r>
          </w:p>
          <w:p w:rsidR="00410E1B" w:rsidRPr="008C380C" w:rsidP="00872D60" w14:paraId="5098A8AF" w14:textId="187065D0">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1</w:t>
            </w:r>
          </w:p>
        </w:tc>
      </w:tr>
      <w:tr w14:paraId="401DBC30" w14:textId="77777777" w:rsidTr="0026578A">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8C380C" w:rsidP="00872D60" w14:paraId="4D398595"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Commissioning schedule</w:t>
            </w:r>
            <w:r>
              <w:rPr>
                <w:rFonts w:eastAsia="Arial" w:asciiTheme="minorHAnsi" w:hAnsiTheme="minorHAnsi" w:cstheme="minorHAnsi"/>
                <w:b/>
                <w:bCs/>
                <w:sz w:val="22"/>
              </w:rPr>
              <w:t xml:space="preserve">        </w:t>
            </w:r>
          </w:p>
          <w:p w:rsidR="0026578A" w:rsidRPr="008C380C" w:rsidP="00872D60" w14:paraId="0486BD6D" w14:textId="01FFCBC9">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As many of the supporting infrastructure is existing for the proposal, the commissioning schedule will begin with clearing of the mine pits and construction of the processing plant</w:t>
            </w:r>
          </w:p>
        </w:tc>
      </w:tr>
      <w:tr w14:paraId="01C754EF" w14:textId="77777777" w:rsidTr="0026578A">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26578A" w:rsidP="00872D60" w14:paraId="0377DEFB"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Operations phase length</w:t>
            </w:r>
          </w:p>
          <w:p w:rsidR="008C380C" w:rsidRPr="008C380C" w:rsidP="00872D60" w14:paraId="4C6CB778" w14:textId="573DA322">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18.5</w:t>
            </w:r>
          </w:p>
        </w:tc>
      </w:tr>
      <w:tr w14:paraId="2C40F307" w14:textId="77777777" w:rsidTr="0026578A">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26578A" w:rsidP="00872D60" w14:paraId="3A3DD795"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De</w:t>
            </w:r>
            <w:r w:rsidRPr="008C380C" w:rsidR="00241619">
              <w:rPr>
                <w:rFonts w:eastAsia="Arial" w:asciiTheme="minorHAnsi" w:hAnsiTheme="minorHAnsi" w:cstheme="minorHAnsi"/>
                <w:b/>
                <w:bCs/>
                <w:sz w:val="22"/>
              </w:rPr>
              <w:t>commissioning phase length</w:t>
            </w:r>
          </w:p>
          <w:p w:rsidR="008C380C" w:rsidRPr="008C380C" w:rsidP="00872D60" w14:paraId="07ADA934" w14:textId="03498880">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Ongoing after mine pits are excavated, until 6 months post-operational stage.</w:t>
            </w:r>
          </w:p>
        </w:tc>
      </w:tr>
      <w:tr w14:paraId="1B3BB707" w14:textId="77777777" w:rsidTr="0026578A">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241619" w:rsidP="00872D60" w14:paraId="08F75A7D"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 xml:space="preserve">Decommissioning schedule </w:t>
            </w:r>
          </w:p>
          <w:p w:rsidR="008C380C" w:rsidRPr="008C380C" w:rsidP="00872D60" w14:paraId="310801D9" w14:textId="765D2200">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The mine pits and waste dumps will be progressively rehabilitated over the lifetime of the proposal, with topsoil backfilled into the pits. After the operational stage is complete, the supporting infrastructure will be completely removed over 6 months.</w:t>
            </w:r>
          </w:p>
        </w:tc>
      </w:tr>
      <w:tr w14:paraId="2100E28C" w14:textId="77777777" w:rsidTr="0026578A">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241619" w:rsidP="00872D60" w14:paraId="6BB3F276"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Rehabilitation schedule</w:t>
            </w:r>
          </w:p>
          <w:p w:rsidR="008C380C" w:rsidRPr="008C380C" w:rsidP="00872D60" w14:paraId="6F440F03" w14:textId="0ECE4D1B">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 xml:space="preserve">Mine pits will be re-vegetation through seeding techniques after topsoil has been deemed adequate for natural land processes, compaction is suitable for revegetation. </w:t>
            </w:r>
          </w:p>
          <w:p w:rsidP="00872D60">
            <w:pPr>
              <w:spacing w:before="0" w:line="257" w:lineRule="auto"/>
              <w:rPr>
                <w:rFonts w:eastAsia="Arial" w:asciiTheme="minorHAnsi" w:hAnsiTheme="minorHAnsi" w:cstheme="minorHAnsi"/>
                <w:color w:val="000000" w:themeColor="text1"/>
                <w:sz w:val="22"/>
              </w:rPr>
            </w:pPr>
          </w:p>
          <w:p w:rsidP="00872D60">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Native title owners and rehabilitation experts will be consulted throughout the process of the mine operations. Revegetation will be performed by a third party. A summary of the rehabilitation process for each mine sector is presented in appendixes A5-1 to A5-5.</w:t>
            </w:r>
          </w:p>
        </w:tc>
      </w:tr>
      <w:bookmarkEnd w:id="0"/>
      <w:tr w14:paraId="1D312C31" w14:textId="77777777" w:rsidTr="002B25F6">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E4C895"/>
          </w:tcPr>
          <w:p w:rsidR="550F49A5" w:rsidRPr="008C380C" w:rsidP="002B25F6" w14:paraId="1FA5287B" w14:textId="2D9514DB">
            <w:pPr>
              <w:spacing w:before="0" w:line="257" w:lineRule="auto"/>
              <w:rPr>
                <w:rFonts w:asciiTheme="minorHAnsi" w:hAnsiTheme="minorHAnsi" w:cstheme="minorHAnsi"/>
                <w:sz w:val="22"/>
              </w:rPr>
            </w:pPr>
            <w:r w:rsidRPr="008C380C">
              <w:rPr>
                <w:rFonts w:eastAsia="Arial" w:asciiTheme="minorHAnsi" w:hAnsiTheme="minorHAnsi" w:cstheme="minorHAnsi"/>
                <w:b/>
                <w:bCs/>
                <w:sz w:val="22"/>
              </w:rPr>
              <w:t>Greenhouse gas emissions:</w:t>
            </w:r>
          </w:p>
        </w:tc>
      </w:tr>
      <w:tr w14:paraId="6AAF093A" w14:textId="77777777" w:rsidTr="00372F90">
        <w:tblPrEx>
          <w:tblW w:w="9015" w:type="dxa"/>
          <w:tblLayout w:type="fixed"/>
          <w:tblLook w:val="04A0"/>
        </w:tblPrEx>
        <w:trPr>
          <w:trHeight w:val="835"/>
        </w:trPr>
        <w:tc>
          <w:tcPr>
            <w:tcW w:w="9015" w:type="dxa"/>
            <w:gridSpan w:val="2"/>
            <w:tcBorders>
              <w:top w:val="single" w:sz="8" w:space="0" w:color="auto"/>
              <w:left w:val="single" w:sz="8" w:space="0" w:color="auto"/>
              <w:right w:val="single" w:sz="8" w:space="0" w:color="auto"/>
            </w:tcBorders>
            <w:shd w:val="clear" w:color="auto" w:fill="auto"/>
          </w:tcPr>
          <w:p w:rsidR="00642918" w:rsidRPr="00642918" w:rsidP="002B25F6" w14:paraId="3E960EA3" w14:textId="77777777">
            <w:pPr>
              <w:spacing w:before="0" w:line="257" w:lineRule="auto"/>
              <w:rPr>
                <w:rFonts w:eastAsia="Arial" w:asciiTheme="minorHAnsi" w:hAnsiTheme="minorHAnsi" w:cstheme="minorHAnsi"/>
                <w:b/>
                <w:bCs/>
                <w:sz w:val="22"/>
                <w:u w:val="single"/>
              </w:rPr>
            </w:pPr>
            <w:bookmarkStart w:id="1" w:name="_Hlk106464095"/>
            <w:r>
              <w:rPr>
                <w:rFonts w:eastAsia="Arial" w:asciiTheme="minorHAnsi" w:hAnsiTheme="minorHAnsi" w:cstheme="minorHAnsi"/>
                <w:b/>
                <w:bCs/>
                <w:sz w:val="22"/>
                <w:u w:val="single"/>
              </w:rPr>
              <w:t>Construction</w:t>
            </w:r>
          </w:p>
          <w:p w:rsidR="00642918" w:rsidP="002B25F6" w14:paraId="09968CF8"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Total Scope 1 greenhouse gas emissions</w:t>
            </w:r>
          </w:p>
          <w:p w:rsidR="00642918" w:rsidRPr="00642918" w:rsidP="002B25F6" w14:paraId="722AB001" w14:textId="67A80BF1">
            <w:pPr>
              <w:spacing w:before="0" w:line="257" w:lineRule="auto"/>
              <w:rPr>
                <w:rFonts w:eastAsia="Arial" w:asciiTheme="minorHAnsi" w:hAnsiTheme="minorHAnsi" w:cstheme="minorHAnsi"/>
                <w:b/>
                <w:bCs/>
                <w:sz w:val="22"/>
                <w:u w:val="single"/>
              </w:rPr>
            </w:pPr>
            <w:r>
              <w:rPr>
                <w:rFonts w:eastAsia="Arial" w:asciiTheme="minorHAnsi" w:hAnsiTheme="minorHAnsi" w:cstheme="minorHAnsi"/>
                <w:color w:val="000000" w:themeColor="text1"/>
                <w:sz w:val="22"/>
              </w:rPr>
              <w:t>40000</w:t>
            </w:r>
          </w:p>
        </w:tc>
      </w:tr>
      <w:tr w14:paraId="798F3257" w14:textId="77777777" w:rsidTr="00B77AC0">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035B11" w:rsidP="002B25F6" w14:paraId="6C9E7DF5" w14:textId="77777777">
            <w:pPr>
              <w:spacing w:before="0" w:line="257" w:lineRule="auto"/>
              <w:rPr>
                <w:rFonts w:eastAsia="Arial" w:asciiTheme="minorHAnsi" w:hAnsiTheme="minorHAnsi" w:cstheme="minorHAnsi"/>
                <w:b/>
                <w:bCs/>
                <w:sz w:val="22"/>
              </w:rPr>
            </w:pPr>
            <w:r>
              <w:rPr>
                <w:rFonts w:eastAsia="Arial" w:asciiTheme="minorHAnsi" w:hAnsiTheme="minorHAnsi" w:cstheme="minorHAnsi"/>
                <w:b/>
                <w:bCs/>
                <w:sz w:val="22"/>
              </w:rPr>
              <w:t>Scope 1 emissions source and quantification method</w:t>
            </w:r>
          </w:p>
          <w:p w:rsidR="00642918" w:rsidRPr="008C380C" w:rsidP="002B25F6" w14:paraId="142C10DA" w14:textId="64BD4085">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Based on an average of predicted emissions from 2025 to 2036</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(when production at Greater Paraburdoo is being sustained by</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Western Range and 4EE at a rate of 25 Mtpa), the Proposal will bring</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the total Scope 1 emissions for the Greater Paraburdoo Hub to</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approximately 115,217 tonnes CO2-e per year. This equates to a 7%</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increase from the existing approved activities. The small increase is</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due to the fact that production from Western Range and 4EE will</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replace existing mining operations (particularly Channar and Eastern</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Range) as those mines reach the end of their life.</w:t>
            </w:r>
          </w:p>
        </w:tc>
      </w:tr>
      <w:tr w14:paraId="0AA5A6EA" w14:textId="77777777" w:rsidTr="00B77AC0">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035B11" w:rsidP="002B25F6" w14:paraId="67B8D337"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Total Scope 2 greenhouse gas emissions</w:t>
            </w:r>
          </w:p>
          <w:p w:rsidR="00642918" w:rsidRPr="008C380C" w:rsidP="002B25F6" w14:paraId="1EC8710C" w14:textId="1E7B5D66">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12000</w:t>
            </w:r>
          </w:p>
        </w:tc>
      </w:tr>
      <w:tr w14:paraId="38D1D9F6" w14:textId="77777777" w:rsidTr="00B77AC0">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B77AC0" w:rsidP="002B25F6" w14:paraId="026C563F" w14:textId="77777777">
            <w:pPr>
              <w:spacing w:before="0" w:line="257" w:lineRule="auto"/>
              <w:rPr>
                <w:rFonts w:eastAsia="Arial" w:asciiTheme="minorHAnsi" w:hAnsiTheme="minorHAnsi" w:cstheme="minorHAnsi"/>
                <w:b/>
                <w:bCs/>
                <w:sz w:val="22"/>
              </w:rPr>
            </w:pPr>
            <w:r>
              <w:rPr>
                <w:rFonts w:eastAsia="Arial" w:asciiTheme="minorHAnsi" w:hAnsiTheme="minorHAnsi" w:cstheme="minorHAnsi"/>
                <w:b/>
                <w:bCs/>
                <w:sz w:val="22"/>
              </w:rPr>
              <w:t>Scope 2 emissions source and quantification method</w:t>
            </w:r>
          </w:p>
          <w:p w:rsidR="00642918" w:rsidRPr="008C380C" w:rsidP="002B25F6" w14:paraId="2FED2C86" w14:textId="3CA73FE2">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The Proposal will bring the total Scope 2 emissions for the Greater</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Paraburdoo Hub to approximately 48,230 tonnes CO2-e per year,</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which is comparable with Scope 2 emissions from the existing</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approved activities. This is due to the ongoing utilisation of</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processing plant infrastructure at Paraburdoo. Additionally,</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processing infrastructure at Western Range and the new overland</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conveyor will replace similar infrastructure at Channar and Eastern</w:t>
            </w:r>
          </w:p>
          <w:p w:rsidP="002B25F6">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Range as those facilities reach the end of their life.</w:t>
            </w:r>
          </w:p>
        </w:tc>
      </w:tr>
      <w:tr w14:paraId="7842F845" w14:textId="77777777" w:rsidTr="002B25F6">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2B25F6" w:rsidP="002B25F6" w14:paraId="0634E98F"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 xml:space="preserve">Total </w:t>
            </w:r>
            <w:r w:rsidRPr="008C380C" w:rsidR="00C6367A">
              <w:rPr>
                <w:rFonts w:eastAsia="Arial" w:asciiTheme="minorHAnsi" w:hAnsiTheme="minorHAnsi" w:cstheme="minorHAnsi"/>
                <w:b/>
                <w:bCs/>
                <w:sz w:val="22"/>
              </w:rPr>
              <w:t>scope 3 greenhouse gas emissions</w:t>
            </w:r>
          </w:p>
          <w:p w:rsidR="00642918" w:rsidRPr="008C380C" w:rsidP="002B25F6" w14:paraId="37D16CAD" w14:textId="4006E2D5">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0</w:t>
            </w:r>
          </w:p>
        </w:tc>
      </w:tr>
      <w:tr w14:paraId="4CF44C91" w14:textId="77777777" w:rsidTr="002B25F6">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C6367A" w:rsidP="002B25F6" w14:paraId="1842943C" w14:textId="77777777">
            <w:pPr>
              <w:spacing w:before="0" w:line="257" w:lineRule="auto"/>
              <w:rPr>
                <w:rFonts w:eastAsia="Arial" w:asciiTheme="minorHAnsi" w:hAnsiTheme="minorHAnsi" w:cstheme="minorHAnsi"/>
                <w:b/>
                <w:bCs/>
                <w:sz w:val="22"/>
              </w:rPr>
            </w:pPr>
            <w:r>
              <w:rPr>
                <w:rFonts w:eastAsia="Arial" w:asciiTheme="minorHAnsi" w:hAnsiTheme="minorHAnsi" w:cstheme="minorHAnsi"/>
                <w:b/>
                <w:bCs/>
                <w:sz w:val="22"/>
              </w:rPr>
              <w:t>Scope 3 emissions source and quantification method</w:t>
            </w:r>
          </w:p>
          <w:p w:rsidR="00642918" w:rsidRPr="008C380C" w:rsidP="002B25F6" w14:paraId="7E6A3EB3" w14:textId="20BDA834">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No scope 3</w:t>
            </w:r>
          </w:p>
        </w:tc>
      </w:tr>
      <w:tr w14:paraId="4FB6A290" w14:textId="77777777" w:rsidTr="00642918">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642918" w:rsidRPr="00642918" w:rsidP="0044399F" w14:paraId="25C818A4" w14:textId="1B3921B4">
            <w:pPr>
              <w:spacing w:before="0" w:line="257" w:lineRule="auto"/>
              <w:rPr>
                <w:rFonts w:eastAsia="Arial" w:asciiTheme="minorHAnsi" w:hAnsiTheme="minorHAnsi" w:cstheme="minorHAnsi"/>
                <w:b/>
                <w:bCs/>
                <w:sz w:val="22"/>
                <w:u w:val="single"/>
              </w:rPr>
            </w:pPr>
            <w:r>
              <w:rPr>
                <w:rFonts w:eastAsia="Arial" w:asciiTheme="minorHAnsi" w:hAnsiTheme="minorHAnsi" w:cstheme="minorHAnsi"/>
                <w:b/>
                <w:bCs/>
                <w:sz w:val="22"/>
                <w:u w:val="single"/>
              </w:rPr>
              <w:t>Operation</w:t>
            </w:r>
          </w:p>
          <w:p w:rsidR="00642918" w:rsidP="0044399F" w14:paraId="0F7F06D2"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Total Scope 1 greenhouse gas emissions</w:t>
            </w:r>
          </w:p>
          <w:p w:rsidR="00642918" w:rsidRPr="00642918" w:rsidP="0044399F" w14:paraId="08661815" w14:textId="6704961E">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200000</w:t>
            </w:r>
          </w:p>
        </w:tc>
      </w:tr>
      <w:tr w14:paraId="5D88CA99" w14:textId="77777777" w:rsidTr="00642918">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642918" w:rsidP="0044399F" w14:paraId="36A3B6E1" w14:textId="77777777">
            <w:pPr>
              <w:spacing w:before="0" w:line="257" w:lineRule="auto"/>
              <w:rPr>
                <w:rFonts w:eastAsia="Arial" w:asciiTheme="minorHAnsi" w:hAnsiTheme="minorHAnsi" w:cstheme="minorHAnsi"/>
                <w:b/>
                <w:bCs/>
                <w:sz w:val="22"/>
              </w:rPr>
            </w:pPr>
            <w:r>
              <w:rPr>
                <w:rFonts w:eastAsia="Arial" w:asciiTheme="minorHAnsi" w:hAnsiTheme="minorHAnsi" w:cstheme="minorHAnsi"/>
                <w:b/>
                <w:bCs/>
                <w:sz w:val="22"/>
              </w:rPr>
              <w:t>Scope 1 emissions source and quantification method</w:t>
            </w:r>
          </w:p>
          <w:p w:rsidR="00642918" w:rsidRPr="008C380C" w:rsidP="0044399F" w14:paraId="2C874C59" w14:textId="0B64AD52">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Based on an average of predicted emissions from 2025 to 2036</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(when production at Greater Paraburdoo is being sustained by</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Western Range and 4EE at a rate of 25 Mtpa), the Proposal will bring</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the total Scope 1 emissions for the Greater Paraburdoo Hub to</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approximately 115,217 tonnes CO2-e per year. This equates to a 7%</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increase from the existing approved activities. The small increase is</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due to the fact that production from Western Range and 4EE will</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replace existing mining operations (particularly Channar and Eastern</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Range) as those mines reach the end of their life.</w:t>
            </w:r>
          </w:p>
        </w:tc>
      </w:tr>
      <w:tr w14:paraId="6A06A7B7" w14:textId="77777777" w:rsidTr="00642918">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642918" w:rsidP="0044399F" w14:paraId="7FD87555"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Total Scope 2 greenhouse gas emissions</w:t>
            </w:r>
          </w:p>
          <w:p w:rsidR="00642918" w:rsidRPr="008C380C" w:rsidP="0044399F" w14:paraId="63D1285F" w14:textId="06E4FD47">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76000</w:t>
            </w:r>
          </w:p>
        </w:tc>
      </w:tr>
      <w:tr w14:paraId="377707DF" w14:textId="77777777" w:rsidTr="00642918">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642918" w:rsidP="0044399F" w14:paraId="264BB182" w14:textId="77777777">
            <w:pPr>
              <w:spacing w:before="0" w:line="257" w:lineRule="auto"/>
              <w:rPr>
                <w:rFonts w:eastAsia="Arial" w:asciiTheme="minorHAnsi" w:hAnsiTheme="minorHAnsi" w:cstheme="minorHAnsi"/>
                <w:b/>
                <w:bCs/>
                <w:sz w:val="22"/>
              </w:rPr>
            </w:pPr>
            <w:r>
              <w:rPr>
                <w:rFonts w:eastAsia="Arial" w:asciiTheme="minorHAnsi" w:hAnsiTheme="minorHAnsi" w:cstheme="minorHAnsi"/>
                <w:b/>
                <w:bCs/>
                <w:sz w:val="22"/>
              </w:rPr>
              <w:t>Scope 2 emissions source and quantification method</w:t>
            </w:r>
          </w:p>
          <w:p w:rsidR="00642918" w:rsidRPr="008C380C" w:rsidP="0044399F" w14:paraId="1C5D0434" w14:textId="5262FB0D">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The Proposal will bring the total Scope 2 emissions for the Greater</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Paraburdoo Hub to approximately 48,230 tonnes CO2-e per year,</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which is comparable with Scope 2 emissions from the existing</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approved activities. This is due to the ongoing utilisation of</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processing plant infrastructure at Paraburdoo. Additionally,</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processing infrastructure at Western Range and the new overland</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conveyor will replace similar infrastructure at Channar and Eastern</w:t>
            </w:r>
          </w:p>
          <w:p w:rsidP="0044399F">
            <w:pPr>
              <w:spacing w:before="0" w:line="257" w:lineRule="auto"/>
              <w:rPr>
                <w:rFonts w:eastAsia="Arial" w:asciiTheme="minorHAnsi" w:hAnsiTheme="minorHAnsi" w:cstheme="minorHAnsi"/>
                <w:color w:val="000000" w:themeColor="text1"/>
                <w:sz w:val="22"/>
              </w:rPr>
            </w:pPr>
            <w:r>
              <w:rPr>
                <w:rFonts w:eastAsia="Arial" w:asciiTheme="minorHAnsi" w:hAnsiTheme="minorHAnsi" w:cstheme="minorHAnsi"/>
                <w:color w:val="000000" w:themeColor="text1"/>
                <w:sz w:val="22"/>
              </w:rPr>
              <w:t>Range as those facilities reach the end of their life.</w:t>
            </w:r>
          </w:p>
        </w:tc>
      </w:tr>
      <w:tr w14:paraId="7E3AF54C" w14:textId="77777777" w:rsidTr="00642918">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642918" w:rsidP="0044399F" w14:paraId="295ABA4A" w14:textId="77777777">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Total scope 3 greenhouse gas emissions</w:t>
            </w:r>
          </w:p>
          <w:p w:rsidR="00642918" w:rsidRPr="008C380C" w:rsidP="0044399F" w14:paraId="6C75CCB4" w14:textId="78C0ACC6">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0</w:t>
            </w:r>
          </w:p>
        </w:tc>
      </w:tr>
      <w:tr w14:paraId="7D05726A" w14:textId="77777777" w:rsidTr="00642918">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642918" w:rsidP="0044399F" w14:paraId="2EBFB04F" w14:textId="77777777">
            <w:pPr>
              <w:spacing w:before="0" w:line="257" w:lineRule="auto"/>
              <w:rPr>
                <w:rFonts w:eastAsia="Arial" w:asciiTheme="minorHAnsi" w:hAnsiTheme="minorHAnsi" w:cstheme="minorHAnsi"/>
                <w:b/>
                <w:bCs/>
                <w:sz w:val="22"/>
              </w:rPr>
            </w:pPr>
            <w:r>
              <w:rPr>
                <w:rFonts w:eastAsia="Arial" w:asciiTheme="minorHAnsi" w:hAnsiTheme="minorHAnsi" w:cstheme="minorHAnsi"/>
                <w:b/>
                <w:bCs/>
                <w:sz w:val="22"/>
              </w:rPr>
              <w:t>Scope 3 emissions source and quantification method</w:t>
            </w:r>
          </w:p>
          <w:p w:rsidR="00642918" w:rsidRPr="008C380C" w:rsidP="0044399F" w14:paraId="36E151A2" w14:textId="3229011C">
            <w:pPr>
              <w:spacing w:before="0" w:line="257" w:lineRule="auto"/>
              <w:rPr>
                <w:rFonts w:eastAsia="Arial" w:asciiTheme="minorHAnsi" w:hAnsiTheme="minorHAnsi" w:cstheme="minorHAnsi"/>
                <w:b/>
                <w:bCs/>
                <w:sz w:val="22"/>
              </w:rPr>
            </w:pPr>
            <w:r>
              <w:rPr>
                <w:rFonts w:eastAsia="Arial" w:asciiTheme="minorHAnsi" w:hAnsiTheme="minorHAnsi" w:cstheme="minorHAnsi"/>
                <w:color w:val="000000" w:themeColor="text1"/>
                <w:sz w:val="22"/>
              </w:rPr>
              <w:t>No scope 3 emissions</w:t>
            </w:r>
          </w:p>
        </w:tc>
      </w:tr>
      <w:bookmarkEnd w:id="1"/>
      <w:tr w14:paraId="2424D489" w14:textId="77777777" w:rsidTr="008F05F4">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E4C895"/>
          </w:tcPr>
          <w:p w:rsidR="008F05F4" w:rsidRPr="008C380C" w:rsidP="002B25F6" w14:paraId="00A71031" w14:textId="79B2600E">
            <w:pPr>
              <w:spacing w:before="0" w:line="257" w:lineRule="auto"/>
              <w:rPr>
                <w:rFonts w:eastAsia="Arial" w:asciiTheme="minorHAnsi" w:hAnsiTheme="minorHAnsi" w:cstheme="minorHAnsi"/>
                <w:b/>
                <w:bCs/>
                <w:sz w:val="22"/>
              </w:rPr>
            </w:pPr>
            <w:r w:rsidRPr="008C380C">
              <w:rPr>
                <w:rFonts w:eastAsia="Arial" w:asciiTheme="minorHAnsi" w:hAnsiTheme="minorHAnsi" w:cstheme="minorHAnsi"/>
                <w:b/>
                <w:bCs/>
                <w:sz w:val="22"/>
              </w:rPr>
              <w:t>Supporting documents:</w:t>
            </w:r>
          </w:p>
        </w:tc>
      </w:tr>
      <w:tr w14:paraId="5A7E5CB3" w14:textId="77777777" w:rsidTr="008F05F4">
        <w:tblPrEx>
          <w:tblW w:w="9015" w:type="dxa"/>
          <w:tblLayout w:type="fixed"/>
          <w:tblLook w:val="04A0"/>
        </w:tblPrEx>
        <w:tc>
          <w:tcPr>
            <w:tcW w:w="9015" w:type="dxa"/>
            <w:gridSpan w:val="2"/>
            <w:tcBorders>
              <w:top w:val="single" w:sz="8" w:space="0" w:color="auto"/>
              <w:left w:val="single" w:sz="8" w:space="0" w:color="auto"/>
              <w:bottom w:val="single" w:sz="8" w:space="0" w:color="auto"/>
              <w:right w:val="single" w:sz="8" w:space="0" w:color="auto"/>
            </w:tcBorders>
            <w:shd w:val="clear" w:color="auto" w:fill="auto"/>
          </w:tcPr>
          <w:p w:rsidR="008F05F4" w:rsidP="002B25F6" w14:paraId="0DDFD3FB" w14:textId="77777777">
            <w:pPr>
              <w:spacing w:before="0" w:line="257" w:lineRule="auto"/>
              <w:rPr>
                <w:rFonts w:eastAsia="Arial" w:asciiTheme="minorHAnsi" w:hAnsiTheme="minorHAnsi" w:cstheme="minorHAnsi"/>
                <w:i/>
                <w:iCs/>
                <w:color w:val="FF0000"/>
                <w:sz w:val="22"/>
              </w:rPr>
            </w:pPr>
            <w:r w:rsidRPr="008C380C">
              <w:rPr>
                <w:rFonts w:eastAsia="Arial" w:asciiTheme="minorHAnsi" w:hAnsiTheme="minorHAnsi" w:cstheme="minorHAnsi"/>
                <w:b/>
                <w:bCs/>
                <w:sz w:val="22"/>
              </w:rPr>
              <w:t>Attachments</w:t>
            </w:r>
            <w:r w:rsidRPr="008C380C" w:rsidR="00A709F2">
              <w:rPr>
                <w:rFonts w:eastAsia="Arial" w:asciiTheme="minorHAnsi" w:hAnsiTheme="minorHAnsi" w:cstheme="minorHAnsi"/>
                <w:b/>
                <w:bCs/>
                <w:sz w:val="22"/>
              </w:rPr>
              <w:t xml:space="preserve"> </w:t>
            </w:r>
            <w:r w:rsidRPr="008C380C" w:rsidR="00A709F2">
              <w:rPr>
                <w:rFonts w:eastAsia="Arial" w:asciiTheme="minorHAnsi" w:hAnsiTheme="minorHAnsi" w:cstheme="minorHAnsi"/>
                <w:i/>
                <w:iCs/>
                <w:color w:val="FF0000"/>
                <w:sz w:val="22"/>
              </w:rPr>
              <w:t>(no</w:t>
            </w:r>
            <w:r w:rsidRPr="008C380C" w:rsidR="00712791">
              <w:rPr>
                <w:rFonts w:eastAsia="Arial" w:asciiTheme="minorHAnsi" w:hAnsiTheme="minorHAnsi" w:cstheme="minorHAnsi"/>
                <w:i/>
                <w:iCs/>
                <w:color w:val="FF0000"/>
                <w:sz w:val="22"/>
              </w:rPr>
              <w:t xml:space="preserve"> confidential </w:t>
            </w:r>
            <w:r w:rsidRPr="008C380C" w:rsidR="00777DD3">
              <w:rPr>
                <w:rFonts w:eastAsia="Arial" w:asciiTheme="minorHAnsi" w:hAnsiTheme="minorHAnsi" w:cstheme="minorHAnsi"/>
                <w:i/>
                <w:iCs/>
                <w:color w:val="FF0000"/>
                <w:sz w:val="22"/>
              </w:rPr>
              <w:t>attachments</w:t>
            </w:r>
            <w:r w:rsidRPr="008C380C" w:rsidR="00C377F1">
              <w:rPr>
                <w:rFonts w:eastAsia="Arial" w:asciiTheme="minorHAnsi" w:hAnsiTheme="minorHAnsi" w:cstheme="minorHAnsi"/>
                <w:i/>
                <w:iCs/>
                <w:color w:val="FF0000"/>
                <w:sz w:val="22"/>
              </w:rPr>
              <w:t xml:space="preserve"> if being made publicly available, but should be included if </w:t>
            </w:r>
            <w:r w:rsidRPr="008C380C" w:rsidR="006A3C7C">
              <w:rPr>
                <w:rFonts w:eastAsia="Arial" w:asciiTheme="minorHAnsi" w:hAnsiTheme="minorHAnsi" w:cstheme="minorHAnsi"/>
                <w:i/>
                <w:iCs/>
                <w:color w:val="FF0000"/>
                <w:sz w:val="22"/>
              </w:rPr>
              <w:t xml:space="preserve">officer or </w:t>
            </w:r>
            <w:r w:rsidRPr="008C380C" w:rsidR="00C377F1">
              <w:rPr>
                <w:rFonts w:eastAsia="Arial" w:asciiTheme="minorHAnsi" w:hAnsiTheme="minorHAnsi" w:cstheme="minorHAnsi"/>
                <w:i/>
                <w:iCs/>
                <w:color w:val="FF0000"/>
                <w:sz w:val="22"/>
              </w:rPr>
              <w:t xml:space="preserve">proponent is </w:t>
            </w:r>
            <w:r w:rsidRPr="008C380C" w:rsidR="006A3C7C">
              <w:rPr>
                <w:rFonts w:eastAsia="Arial" w:asciiTheme="minorHAnsi" w:hAnsiTheme="minorHAnsi" w:cstheme="minorHAnsi"/>
                <w:i/>
                <w:iCs/>
                <w:color w:val="FF0000"/>
                <w:sz w:val="22"/>
              </w:rPr>
              <w:t>exporting to this template</w:t>
            </w:r>
            <w:r w:rsidRPr="008C380C" w:rsidR="00712791">
              <w:rPr>
                <w:rFonts w:eastAsia="Arial" w:asciiTheme="minorHAnsi" w:hAnsiTheme="minorHAnsi" w:cstheme="minorHAnsi"/>
                <w:i/>
                <w:iCs/>
                <w:color w:val="FF0000"/>
                <w:sz w:val="22"/>
              </w:rPr>
              <w:t>)</w:t>
            </w:r>
          </w:p>
          <w:p w:rsidR="00642918" w:rsidP="00642918" w14:paraId="6779F706" w14:textId="77777777">
            <w:pPr>
              <w:pStyle w:val="Level3"/>
              <w:numPr>
                <w:ilvl w:val="0"/>
                <w:numId w:val="27"/>
              </w:numPr>
              <w:tabs>
                <w:tab w:val="left" w:pos="720"/>
              </w:tabs>
              <w:spacing w:after="60" w:line="240" w:lineRule="auto"/>
              <w:jc w:val="left"/>
              <w:rPr>
                <w:rFonts w:asciiTheme="minorHAnsi" w:hAnsiTheme="minorHAnsi" w:cstheme="minorHAnsi"/>
                <w:b w:val="0"/>
              </w:rPr>
            </w:pPr>
            <w:r>
              <w:rPr>
                <w:rFonts w:asciiTheme="minorHAnsi" w:hAnsiTheme="minorHAnsi" w:cstheme="minorHAnsi"/>
                <w:b w:val="0"/>
              </w:rPr>
              <w:t>Development Envelope.zip</w:t>
            </w:r>
          </w:p>
          <w:p w:rsidR="00642918" w:rsidP="00642918" w14:textId="77777777">
            <w:pPr>
              <w:pStyle w:val="Level3"/>
              <w:numPr>
                <w:ilvl w:val="0"/>
                <w:numId w:val="27"/>
              </w:numPr>
              <w:tabs>
                <w:tab w:val="left" w:pos="720"/>
              </w:tabs>
              <w:spacing w:after="60" w:line="240" w:lineRule="auto"/>
              <w:jc w:val="left"/>
              <w:rPr>
                <w:rFonts w:asciiTheme="minorHAnsi" w:hAnsiTheme="minorHAnsi" w:cstheme="minorHAnsi"/>
                <w:b w:val="0"/>
              </w:rPr>
            </w:pPr>
            <w:r>
              <w:rPr>
                <w:rFonts w:asciiTheme="minorHAnsi" w:hAnsiTheme="minorHAnsi" w:cstheme="minorHAnsi"/>
                <w:b w:val="0"/>
              </w:rPr>
              <w:t>Disturbance Footprint.zip</w:t>
            </w:r>
          </w:p>
          <w:p w:rsidR="00642918" w:rsidP="00642918" w14:textId="77777777">
            <w:pPr>
              <w:pStyle w:val="Level3"/>
              <w:numPr>
                <w:ilvl w:val="0"/>
                <w:numId w:val="27"/>
              </w:numPr>
              <w:tabs>
                <w:tab w:val="left" w:pos="720"/>
              </w:tabs>
              <w:spacing w:after="60" w:line="240" w:lineRule="auto"/>
              <w:jc w:val="left"/>
              <w:rPr>
                <w:rFonts w:asciiTheme="minorHAnsi" w:hAnsiTheme="minorHAnsi" w:cstheme="minorHAnsi"/>
                <w:b w:val="0"/>
              </w:rPr>
            </w:pPr>
            <w:r>
              <w:rPr>
                <w:rFonts w:asciiTheme="minorHAnsi" w:hAnsiTheme="minorHAnsi" w:cstheme="minorHAnsi"/>
                <w:b w:val="0"/>
              </w:rPr>
              <w:t>Appendix 5-5 Mine closure plan.pdf</w:t>
            </w:r>
          </w:p>
          <w:p w:rsidR="00642918" w:rsidP="00642918" w14:textId="77777777">
            <w:pPr>
              <w:pStyle w:val="Level3"/>
              <w:numPr>
                <w:ilvl w:val="0"/>
                <w:numId w:val="27"/>
              </w:numPr>
              <w:tabs>
                <w:tab w:val="left" w:pos="720"/>
              </w:tabs>
              <w:spacing w:after="60" w:line="240" w:lineRule="auto"/>
              <w:jc w:val="left"/>
              <w:rPr>
                <w:rFonts w:asciiTheme="minorHAnsi" w:hAnsiTheme="minorHAnsi" w:cstheme="minorHAnsi"/>
                <w:b w:val="0"/>
              </w:rPr>
            </w:pPr>
            <w:r>
              <w:rPr>
                <w:rFonts w:asciiTheme="minorHAnsi" w:hAnsiTheme="minorHAnsi" w:cstheme="minorHAnsi"/>
                <w:b w:val="0"/>
              </w:rPr>
              <w:t>A5_3 Western Range Closure Plan (Rio Tinto 2019e).pdf</w:t>
            </w:r>
          </w:p>
          <w:p w:rsidR="00642918" w:rsidP="00642918" w14:textId="77777777">
            <w:pPr>
              <w:pStyle w:val="Level3"/>
              <w:numPr>
                <w:ilvl w:val="0"/>
                <w:numId w:val="27"/>
              </w:numPr>
              <w:tabs>
                <w:tab w:val="left" w:pos="720"/>
              </w:tabs>
              <w:spacing w:after="60" w:line="240" w:lineRule="auto"/>
              <w:jc w:val="left"/>
              <w:rPr>
                <w:rFonts w:asciiTheme="minorHAnsi" w:hAnsiTheme="minorHAnsi" w:cstheme="minorHAnsi"/>
                <w:b w:val="0"/>
              </w:rPr>
            </w:pPr>
            <w:r>
              <w:rPr>
                <w:rFonts w:asciiTheme="minorHAnsi" w:hAnsiTheme="minorHAnsi" w:cstheme="minorHAnsi"/>
                <w:b w:val="0"/>
              </w:rPr>
              <w:t>A5_2 Paraburdoo Closure Plan (Rio Tinto 2019d).pdf</w:t>
            </w:r>
          </w:p>
          <w:p w:rsidR="00642918" w:rsidP="00642918" w14:textId="77777777">
            <w:pPr>
              <w:pStyle w:val="Level3"/>
              <w:numPr>
                <w:ilvl w:val="0"/>
                <w:numId w:val="27"/>
              </w:numPr>
              <w:tabs>
                <w:tab w:val="left" w:pos="720"/>
              </w:tabs>
              <w:spacing w:after="60" w:line="240" w:lineRule="auto"/>
              <w:jc w:val="left"/>
              <w:rPr>
                <w:rFonts w:asciiTheme="minorHAnsi" w:hAnsiTheme="minorHAnsi" w:cstheme="minorHAnsi"/>
                <w:b w:val="0"/>
              </w:rPr>
            </w:pPr>
            <w:r>
              <w:rPr>
                <w:rFonts w:asciiTheme="minorHAnsi" w:hAnsiTheme="minorHAnsi" w:cstheme="minorHAnsi"/>
                <w:b w:val="0"/>
              </w:rPr>
              <w:t>A5_1 Eastern Range Closure Plan (Rio Tinto 2019c) Part 2.pdf</w:t>
            </w:r>
          </w:p>
          <w:p w:rsidR="00642918" w:rsidP="00642918" w14:textId="77777777">
            <w:pPr>
              <w:pStyle w:val="Level3"/>
              <w:numPr>
                <w:ilvl w:val="0"/>
                <w:numId w:val="27"/>
              </w:numPr>
              <w:tabs>
                <w:tab w:val="left" w:pos="720"/>
              </w:tabs>
              <w:spacing w:after="60" w:line="240" w:lineRule="auto"/>
              <w:jc w:val="left"/>
              <w:rPr>
                <w:rFonts w:asciiTheme="minorHAnsi" w:hAnsiTheme="minorHAnsi" w:cstheme="minorHAnsi"/>
                <w:b w:val="0"/>
              </w:rPr>
            </w:pPr>
            <w:r>
              <w:rPr>
                <w:rFonts w:asciiTheme="minorHAnsi" w:hAnsiTheme="minorHAnsi" w:cstheme="minorHAnsi"/>
                <w:b w:val="0"/>
              </w:rPr>
              <w:t>A5_1 Eastern Range Closure Plan (Rio Tinto 2019c) Part 1.pdf</w:t>
            </w:r>
          </w:p>
          <w:p w:rsidR="00642918" w:rsidP="00642918" w14:textId="77777777">
            <w:pPr>
              <w:pStyle w:val="Level3"/>
              <w:numPr>
                <w:ilvl w:val="0"/>
                <w:numId w:val="27"/>
              </w:numPr>
              <w:tabs>
                <w:tab w:val="left" w:pos="720"/>
              </w:tabs>
              <w:spacing w:after="60" w:line="240" w:lineRule="auto"/>
              <w:jc w:val="left"/>
              <w:rPr>
                <w:rFonts w:asciiTheme="minorHAnsi" w:hAnsiTheme="minorHAnsi" w:cstheme="minorHAnsi"/>
                <w:b w:val="0"/>
              </w:rPr>
            </w:pPr>
            <w:r>
              <w:rPr>
                <w:rFonts w:asciiTheme="minorHAnsi" w:hAnsiTheme="minorHAnsi" w:cstheme="minorHAnsi"/>
                <w:b w:val="0"/>
              </w:rPr>
              <w:t>A5_4 GP Progressive Rehabilitation Summary (Rio Tinto 2019k).pdf</w:t>
            </w:r>
          </w:p>
          <w:p w:rsidR="00642918" w:rsidRPr="00642918" w:rsidP="00642918" w14:paraId="2360FAB3" w14:textId="0DCF5EF1">
            <w:pPr>
              <w:pStyle w:val="Level3"/>
              <w:numPr>
                <w:ilvl w:val="0"/>
                <w:numId w:val="0"/>
              </w:numPr>
              <w:tabs>
                <w:tab w:val="left" w:pos="720"/>
              </w:tabs>
              <w:spacing w:after="60" w:line="240" w:lineRule="auto"/>
              <w:ind w:left="720"/>
              <w:jc w:val="left"/>
              <w:rPr>
                <w:rFonts w:asciiTheme="minorHAnsi" w:hAnsiTheme="minorHAnsi" w:cstheme="minorHAnsi"/>
                <w:b w:val="0"/>
                <w:bCs w:val="0"/>
              </w:rPr>
            </w:pPr>
          </w:p>
        </w:tc>
      </w:tr>
    </w:tbl>
    <w:p w:rsidR="00FB385A" w:rsidRPr="008C380C" w:rsidP="550F49A5" w14:paraId="75D3812C" w14:textId="7ACA6B80">
      <w:pPr>
        <w:spacing w:before="19" w:line="260" w:lineRule="exact"/>
        <w:rPr>
          <w:rFonts w:eastAsia="Calibri" w:asciiTheme="minorHAnsi" w:hAnsiTheme="minorHAnsi" w:cstheme="minorHAnsi"/>
          <w:sz w:val="22"/>
        </w:rPr>
      </w:pPr>
    </w:p>
    <w:p w:rsidR="00FB385A" w:rsidRPr="008C380C" w14:paraId="7373B28B" w14:textId="2C68B8F6">
      <w:pPr>
        <w:spacing w:before="0" w:after="160"/>
        <w:rPr>
          <w:rFonts w:asciiTheme="minorHAnsi" w:hAnsiTheme="minorHAnsi" w:cstheme="minorHAnsi"/>
          <w:b/>
          <w:bCs/>
          <w:sz w:val="22"/>
        </w:rPr>
      </w:pPr>
    </w:p>
    <w:sectPr w:rsidSect="00A62CFB">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5394F" w:rsidP="00181374" w14:paraId="68946B66" w14:textId="77777777">
      <w:pPr>
        <w:spacing w:after="0" w:line="240" w:lineRule="auto"/>
      </w:pPr>
      <w:r>
        <w:separator/>
      </w:r>
    </w:p>
  </w:endnote>
  <w:endnote w:type="continuationSeparator" w:id="1">
    <w:p w:rsidR="0005394F" w:rsidP="00181374" w14:paraId="288FA21F" w14:textId="77777777">
      <w:pPr>
        <w:spacing w:after="0" w:line="240" w:lineRule="auto"/>
      </w:pPr>
      <w:r>
        <w:continuationSeparator/>
      </w:r>
    </w:p>
  </w:endnote>
  <w:endnote w:type="continuationNotice" w:id="2">
    <w:p w:rsidR="0005394F" w14:paraId="46843BB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altName w:val="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FC" w14:paraId="6F4DF650" w14:textId="4816D306">
    <w:pPr>
      <w:pStyle w:val="Footer"/>
    </w:pPr>
    <w:r>
      <w:rPr>
        <w:noProof/>
      </w:rPr>
      <mc:AlternateContent>
        <mc:Choice Requires="wps">
          <w:drawing>
            <wp:anchor distT="0" distB="0" distL="0" distR="0" simplePos="0" relativeHeight="251660288" behindDoc="0" locked="0" layoutInCell="1" allowOverlap="1">
              <wp:simplePos x="0" y="0"/>
              <wp:positionH relativeFrom="column">
                <wp:align>center</wp:align>
              </wp:positionH>
              <wp:positionV relativeFrom="paragraph">
                <wp:posOffset>635</wp:posOffset>
              </wp:positionV>
              <wp:extent cx="443865" cy="443865"/>
              <wp:effectExtent l="0" t="0" r="16510" b="4445"/>
              <wp:wrapSquare wrapText="bothSides"/>
              <wp:docPr id="3" name="Text Box 3"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0667FC" w:rsidRPr="000667FC" w14:textId="3648BA4D">
                          <w:pPr>
                            <w:rPr>
                              <w:rFonts w:eastAsia="Calibri" w:cs="Calibri"/>
                              <w:noProof/>
                              <w:color w:val="008000"/>
                              <w:szCs w:val="20"/>
                            </w:rPr>
                          </w:pPr>
                          <w:r w:rsidRPr="000667FC">
                            <w:rPr>
                              <w:rFonts w:eastAsia="Calibri" w:cs="Calibri"/>
                              <w:noProof/>
                              <w:color w:val="00800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alt="OFFICIAL" style="width:34.95pt;height:34.95pt;margin-top:0.05pt;margin-left:0;mso-position-horizontal:center;mso-wrap-distance-bottom:0;mso-wrap-distance-left:0;mso-wrap-distance-right:0;mso-wrap-distance-top:0;mso-wrap-style:none;position:absolute;visibility:visible;v-text-anchor:top;z-index:251661312" filled="f" stroked="f">
              <v:textbox style="mso-fit-shape-to-text:t" inset="0,0,0,0">
                <w:txbxContent>
                  <w:p w:rsidR="000667FC" w:rsidRPr="000667FC" w14:paraId="0CF536EC" w14:textId="3648BA4D">
                    <w:pPr>
                      <w:rPr>
                        <w:rFonts w:eastAsia="Calibri" w:cs="Calibri"/>
                        <w:noProof/>
                        <w:color w:val="008000"/>
                        <w:szCs w:val="20"/>
                      </w:rPr>
                    </w:pPr>
                    <w:r w:rsidRPr="000667FC">
                      <w:rPr>
                        <w:rFonts w:eastAsia="Calibri" w:cs="Calibri"/>
                        <w:noProof/>
                        <w:color w:val="00800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374" w:rsidRPr="00251AA9" w:rsidP="00251AA9" w14:paraId="7C93DA70" w14:textId="081B35AB">
    <w:pPr>
      <w:pStyle w:val="Footer"/>
      <w:pBdr>
        <w:top w:val="single" w:sz="4" w:space="0" w:color="auto"/>
      </w:pBdr>
      <w:rPr>
        <w:color w:val="7F7F7F" w:themeColor="text1" w:themeTint="80"/>
      </w:rPr>
    </w:pPr>
    <w:r>
      <w:rPr>
        <w:noProof/>
      </w:rPr>
      <mc:AlternateContent>
        <mc:Choice Requires="wps">
          <w:drawing>
            <wp:anchor distT="0" distB="0" distL="0" distR="0" simplePos="0" relativeHeight="251662336" behindDoc="0" locked="0" layoutInCell="1" allowOverlap="1">
              <wp:simplePos x="0" y="0"/>
              <wp:positionH relativeFrom="column">
                <wp:align>center</wp:align>
              </wp:positionH>
              <wp:positionV relativeFrom="paragraph">
                <wp:posOffset>635</wp:posOffset>
              </wp:positionV>
              <wp:extent cx="443865" cy="443865"/>
              <wp:effectExtent l="0" t="0" r="16510" b="4445"/>
              <wp:wrapSquare wrapText="bothSides"/>
              <wp:docPr id="4" name="Text Box 4"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0667FC" w:rsidRPr="000667FC" w14:textId="6F115F76">
                          <w:pPr>
                            <w:rPr>
                              <w:rFonts w:eastAsia="Calibri" w:cs="Calibri"/>
                              <w:noProof/>
                              <w:color w:val="008000"/>
                              <w:szCs w:val="20"/>
                            </w:rPr>
                          </w:pPr>
                          <w:r w:rsidRPr="000667FC">
                            <w:rPr>
                              <w:rFonts w:eastAsia="Calibri" w:cs="Calibri"/>
                              <w:noProof/>
                              <w:color w:val="00800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0" type="#_x0000_t202" alt="OFFICIAL" style="width:34.95pt;height:34.95pt;margin-top:0.05pt;margin-left:0;mso-position-horizontal:center;mso-wrap-distance-bottom:0;mso-wrap-distance-left:0;mso-wrap-distance-right:0;mso-wrap-distance-top:0;mso-wrap-style:none;position:absolute;visibility:visible;v-text-anchor:top;z-index:251663360" filled="f" stroked="f">
              <v:textbox style="mso-fit-shape-to-text:t" inset="0,0,0,0">
                <w:txbxContent>
                  <w:p w:rsidR="000667FC" w:rsidRPr="000667FC" w14:paraId="62082F74" w14:textId="6F115F76">
                    <w:pPr>
                      <w:rPr>
                        <w:rFonts w:eastAsia="Calibri" w:cs="Calibri"/>
                        <w:noProof/>
                        <w:color w:val="008000"/>
                        <w:szCs w:val="20"/>
                      </w:rPr>
                    </w:pPr>
                    <w:r w:rsidRPr="000667FC">
                      <w:rPr>
                        <w:rFonts w:eastAsia="Calibri" w:cs="Calibri"/>
                        <w:noProof/>
                        <w:color w:val="008000"/>
                        <w:szCs w:val="20"/>
                      </w:rPr>
                      <w:t>OFFICIAL</w:t>
                    </w:r>
                  </w:p>
                </w:txbxContent>
              </v:textbox>
              <w10:wrap type="square"/>
            </v:shape>
          </w:pict>
        </mc:Fallback>
      </mc:AlternateContent>
    </w:r>
  </w:p>
  <w:sdt>
    <w:sdtPr>
      <w:id w:val="-2117585111"/>
      <w:docPartObj>
        <w:docPartGallery w:val="Page Numbers (Bottom of Page)"/>
        <w:docPartUnique/>
      </w:docPartObj>
    </w:sdtPr>
    <w:sdtEndPr>
      <w:rPr>
        <w:color w:val="7F7F7F" w:themeColor="text1" w:themeTint="80"/>
      </w:rPr>
    </w:sdtEndPr>
    <w:sdtContent>
      <w:p w:rsidR="00181374" w:rsidRPr="00251AA9" w:rsidP="00251AA9" w14:paraId="06D5A9C9" w14:textId="77777777">
        <w:pPr>
          <w:pStyle w:val="Footer"/>
          <w:pBdr>
            <w:top w:val="single" w:sz="4" w:space="0" w:color="auto"/>
          </w:pBdr>
          <w:rPr>
            <w:color w:val="7F7F7F" w:themeColor="text1" w:themeTint="80"/>
          </w:rPr>
        </w:pPr>
        <w:r w:rsidRPr="000E5788">
          <w:rPr>
            <w:color w:val="7F7F7F" w:themeColor="text1" w:themeTint="80"/>
          </w:rPr>
          <w:fldChar w:fldCharType="begin"/>
        </w:r>
        <w:r w:rsidRPr="000E5788">
          <w:rPr>
            <w:color w:val="7F7F7F" w:themeColor="text1" w:themeTint="80"/>
          </w:rPr>
          <w:instrText xml:space="preserve"> PAGE   \* MERGEFORMAT </w:instrText>
        </w:r>
        <w:r w:rsidRPr="000E5788">
          <w:rPr>
            <w:color w:val="7F7F7F" w:themeColor="text1" w:themeTint="80"/>
          </w:rPr>
          <w:fldChar w:fldCharType="separate"/>
        </w:r>
        <w:r>
          <w:rPr>
            <w:color w:val="7F7F7F" w:themeColor="text1" w:themeTint="80"/>
          </w:rPr>
          <w:t>1</w:t>
        </w:r>
        <w:r w:rsidRPr="000E5788">
          <w:rPr>
            <w:color w:val="7F7F7F" w:themeColor="text1" w:themeTint="80"/>
          </w:rPr>
          <w:fldChar w:fldCharType="end"/>
        </w:r>
        <w:r w:rsidRPr="000E5788">
          <w:rPr>
            <w:color w:val="7F7F7F" w:themeColor="text1" w:themeTint="80"/>
          </w:rPr>
          <w:t xml:space="preserve"> </w:t>
        </w:r>
        <w:r w:rsidRPr="000E5788">
          <w:rPr>
            <w:rFonts w:cs="Arial"/>
            <w:color w:val="7F7F7F" w:themeColor="text1" w:themeTint="80"/>
          </w:rPr>
          <w:t>│</w:t>
        </w:r>
        <w:r>
          <w:rPr>
            <w:color w:val="7F7F7F" w:themeColor="text1" w:themeTint="80"/>
          </w:rPr>
          <w:t xml:space="preserve"> </w:t>
        </w:r>
        <w:r w:rsidR="00761CA8">
          <w:rPr>
            <w:color w:val="7F7F7F" w:themeColor="text1" w:themeTint="80"/>
          </w:rPr>
          <w:t>October</w:t>
        </w:r>
        <w:r w:rsidR="00964373">
          <w:rPr>
            <w:color w:val="7F7F7F" w:themeColor="text1" w:themeTint="80"/>
          </w:rPr>
          <w:t xml:space="preserve"> </w:t>
        </w:r>
        <w:r w:rsidRPr="000E5788">
          <w:rPr>
            <w:color w:val="7F7F7F" w:themeColor="text1" w:themeTint="80"/>
          </w:rPr>
          <w:t>202</w:t>
        </w:r>
        <w:r>
          <w:rPr>
            <w:color w:val="7F7F7F" w:themeColor="text1" w:themeTint="80"/>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881" w:rsidRPr="00D01881" w:rsidP="00D01881" w14:paraId="5BFEBD83" w14:textId="5DA99020">
    <w:pPr>
      <w:pStyle w:val="Footer"/>
      <w:pBdr>
        <w:top w:val="single" w:sz="4" w:space="0" w:color="auto"/>
      </w:pBdr>
      <w:rPr>
        <w:color w:val="7F7F7F" w:themeColor="text1" w:themeTint="80"/>
      </w:rPr>
    </w:pPr>
    <w:r>
      <w:rPr>
        <w:noProof/>
      </w:rPr>
      <mc:AlternateContent>
        <mc:Choice Requires="wps">
          <w:drawing>
            <wp:anchor distT="0" distB="0" distL="0" distR="0" simplePos="0" relativeHeight="251658240" behindDoc="0" locked="0" layoutInCell="1" allowOverlap="1">
              <wp:simplePos x="0" y="0"/>
              <wp:positionH relativeFrom="column">
                <wp:align>center</wp:align>
              </wp:positionH>
              <wp:positionV relativeFrom="paragraph">
                <wp:posOffset>635</wp:posOffset>
              </wp:positionV>
              <wp:extent cx="443865" cy="443865"/>
              <wp:effectExtent l="0" t="0" r="16510" b="4445"/>
              <wp:wrapSquare wrapText="bothSides"/>
              <wp:docPr id="2" name="Text Box 2"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0667FC" w:rsidRPr="000667FC" w14:textId="27B35E80">
                          <w:pPr>
                            <w:rPr>
                              <w:rFonts w:eastAsia="Calibri" w:cs="Calibri"/>
                              <w:noProof/>
                              <w:color w:val="008000"/>
                              <w:szCs w:val="20"/>
                            </w:rPr>
                          </w:pPr>
                          <w:r w:rsidRPr="000667FC">
                            <w:rPr>
                              <w:rFonts w:eastAsia="Calibri" w:cs="Calibri"/>
                              <w:noProof/>
                              <w:color w:val="00800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1" type="#_x0000_t202" alt="OFFICIAL" style="width:34.95pt;height:34.95pt;margin-top:0.05pt;margin-left:0;mso-position-horizontal:center;mso-wrap-distance-bottom:0;mso-wrap-distance-left:0;mso-wrap-distance-right:0;mso-wrap-distance-top:0;mso-wrap-style:none;position:absolute;visibility:visible;v-text-anchor:top;z-index:251659264" filled="f" stroked="f">
              <v:textbox style="mso-fit-shape-to-text:t" inset="0,0,0,0">
                <w:txbxContent>
                  <w:p w:rsidR="000667FC" w:rsidRPr="000667FC" w14:paraId="5918CE68" w14:textId="27B35E80">
                    <w:pPr>
                      <w:rPr>
                        <w:rFonts w:eastAsia="Calibri" w:cs="Calibri"/>
                        <w:noProof/>
                        <w:color w:val="008000"/>
                        <w:szCs w:val="20"/>
                      </w:rPr>
                    </w:pPr>
                    <w:r w:rsidRPr="000667FC">
                      <w:rPr>
                        <w:rFonts w:eastAsia="Calibri" w:cs="Calibri"/>
                        <w:noProof/>
                        <w:color w:val="008000"/>
                        <w:szCs w:val="20"/>
                      </w:rPr>
                      <w:t>OFFICIAL</w:t>
                    </w:r>
                  </w:p>
                </w:txbxContent>
              </v:textbox>
              <w10:wrap type="square"/>
            </v:shape>
          </w:pict>
        </mc:Fallback>
      </mc:AlternateContent>
    </w:r>
  </w:p>
  <w:sdt>
    <w:sdtPr>
      <w:id w:val="1618950415"/>
      <w:docPartObj>
        <w:docPartGallery w:val="Page Numbers (Bottom of Page)"/>
        <w:docPartUnique/>
      </w:docPartObj>
    </w:sdtPr>
    <w:sdtEndPr>
      <w:rPr>
        <w:color w:val="7F7F7F" w:themeColor="text1" w:themeTint="80"/>
      </w:rPr>
    </w:sdtEndPr>
    <w:sdtContent>
      <w:p w:rsidR="00D01881" w:rsidRPr="00D01881" w:rsidP="00D01881" w14:paraId="1F932B8C" w14:textId="77777777">
        <w:pPr>
          <w:pStyle w:val="Footer"/>
          <w:pBdr>
            <w:top w:val="single" w:sz="4" w:space="0" w:color="auto"/>
          </w:pBdr>
          <w:rPr>
            <w:color w:val="7F7F7F" w:themeColor="text1" w:themeTint="80"/>
          </w:rPr>
        </w:pPr>
        <w:r w:rsidRPr="000E5788">
          <w:rPr>
            <w:color w:val="7F7F7F" w:themeColor="text1" w:themeTint="80"/>
          </w:rPr>
          <w:fldChar w:fldCharType="begin"/>
        </w:r>
        <w:r w:rsidRPr="000E5788">
          <w:rPr>
            <w:color w:val="7F7F7F" w:themeColor="text1" w:themeTint="80"/>
          </w:rPr>
          <w:instrText xml:space="preserve"> PAGE   \* MERGEFORMAT </w:instrText>
        </w:r>
        <w:r w:rsidRPr="000E5788">
          <w:rPr>
            <w:color w:val="7F7F7F" w:themeColor="text1" w:themeTint="80"/>
          </w:rPr>
          <w:fldChar w:fldCharType="separate"/>
        </w:r>
        <w:r>
          <w:rPr>
            <w:color w:val="7F7F7F" w:themeColor="text1" w:themeTint="80"/>
          </w:rPr>
          <w:t>2</w:t>
        </w:r>
        <w:r w:rsidRPr="000E5788">
          <w:rPr>
            <w:color w:val="7F7F7F" w:themeColor="text1" w:themeTint="80"/>
          </w:rPr>
          <w:fldChar w:fldCharType="end"/>
        </w:r>
        <w:r w:rsidRPr="000E5788">
          <w:rPr>
            <w:color w:val="7F7F7F" w:themeColor="text1" w:themeTint="80"/>
          </w:rPr>
          <w:t xml:space="preserve"> </w:t>
        </w:r>
        <w:r w:rsidRPr="000E5788">
          <w:rPr>
            <w:rFonts w:cs="Arial"/>
            <w:color w:val="7F7F7F" w:themeColor="text1" w:themeTint="80"/>
          </w:rPr>
          <w:t>│</w:t>
        </w:r>
        <w:r>
          <w:rPr>
            <w:color w:val="7F7F7F" w:themeColor="text1" w:themeTint="80"/>
          </w:rPr>
          <w:t xml:space="preserve"> </w:t>
        </w:r>
        <w:r w:rsidR="00761CA8">
          <w:rPr>
            <w:color w:val="7F7F7F" w:themeColor="text1" w:themeTint="80"/>
          </w:rPr>
          <w:t>October</w:t>
        </w:r>
        <w:r w:rsidR="00964373">
          <w:rPr>
            <w:color w:val="7F7F7F" w:themeColor="text1" w:themeTint="80"/>
          </w:rPr>
          <w:t xml:space="preserve"> </w:t>
        </w:r>
        <w:r w:rsidRPr="000E5788">
          <w:rPr>
            <w:color w:val="7F7F7F" w:themeColor="text1" w:themeTint="80"/>
          </w:rPr>
          <w:t>202</w:t>
        </w:r>
        <w:r>
          <w:rPr>
            <w:color w:val="7F7F7F" w:themeColor="text1" w:themeTint="8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5394F" w:rsidP="00181374" w14:paraId="4842D1A5" w14:textId="77777777">
      <w:pPr>
        <w:spacing w:after="0" w:line="240" w:lineRule="auto"/>
      </w:pPr>
      <w:r>
        <w:separator/>
      </w:r>
    </w:p>
  </w:footnote>
  <w:footnote w:type="continuationSeparator" w:id="1">
    <w:p w:rsidR="0005394F" w:rsidP="00181374" w14:paraId="0AC55193" w14:textId="77777777">
      <w:pPr>
        <w:spacing w:after="0" w:line="240" w:lineRule="auto"/>
      </w:pPr>
      <w:r>
        <w:continuationSeparator/>
      </w:r>
    </w:p>
  </w:footnote>
  <w:footnote w:type="continuationNotice" w:id="2">
    <w:p w:rsidR="0005394F" w14:paraId="2F277427"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FC" w14:paraId="694B7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FC" w14:paraId="7D599B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FC" w14:paraId="20F286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06729"/>
    <w:multiLevelType w:val="hybridMultilevel"/>
    <w:tmpl w:val="B40CB74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261CD3"/>
    <w:multiLevelType w:val="hybridMultilevel"/>
    <w:tmpl w:val="0032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13044"/>
    <w:multiLevelType w:val="hybridMultilevel"/>
    <w:tmpl w:val="623024C8"/>
    <w:lvl w:ilvl="0">
      <w:start w:val="1"/>
      <w:numFmt w:val="decimal"/>
      <w:pStyle w:val="Listparagraph2"/>
      <w:lvlText w:val="%1."/>
      <w:lvlJc w:val="left"/>
      <w:pPr>
        <w:ind w:left="786" w:hanging="360"/>
      </w:pPr>
      <w:rPr>
        <w:rFonts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
    <w:nsid w:val="0CD622D7"/>
    <w:multiLevelType w:val="hybridMultilevel"/>
    <w:tmpl w:val="A5EE1C5C"/>
    <w:lvl w:ilvl="0">
      <w:start w:val="1"/>
      <w:numFmt w:val="lowerRoman"/>
      <w:lvlText w:val="%1."/>
      <w:lvlJc w:val="left"/>
      <w:pPr>
        <w:ind w:left="1060" w:hanging="360"/>
      </w:pPr>
      <w:rPr>
        <w:rFonts w:hint="default"/>
      </w:rPr>
    </w:lvl>
    <w:lvl w:ilvl="1" w:tentative="1">
      <w:start w:val="1"/>
      <w:numFmt w:val="bullet"/>
      <w:lvlText w:val="o"/>
      <w:lvlJc w:val="left"/>
      <w:pPr>
        <w:ind w:left="1780" w:hanging="360"/>
      </w:pPr>
      <w:rPr>
        <w:rFonts w:ascii="Courier New" w:hAnsi="Courier New" w:cs="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cs="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cs="Courier New" w:hint="default"/>
      </w:rPr>
    </w:lvl>
    <w:lvl w:ilvl="8" w:tentative="1">
      <w:start w:val="1"/>
      <w:numFmt w:val="bullet"/>
      <w:lvlText w:val=""/>
      <w:lvlJc w:val="left"/>
      <w:pPr>
        <w:ind w:left="6820" w:hanging="360"/>
      </w:pPr>
      <w:rPr>
        <w:rFonts w:ascii="Wingdings" w:hAnsi="Wingdings" w:hint="default"/>
      </w:rPr>
    </w:lvl>
  </w:abstractNum>
  <w:abstractNum w:abstractNumId="4">
    <w:nsid w:val="12D4050C"/>
    <w:multiLevelType w:val="hybridMultilevel"/>
    <w:tmpl w:val="C010BC3A"/>
    <w:lvl w:ilvl="0">
      <w:start w:val="1"/>
      <w:numFmt w:val="lowerRoman"/>
      <w:lvlText w:val="%1."/>
      <w:lvlJc w:val="left"/>
      <w:pPr>
        <w:ind w:left="1400" w:hanging="720"/>
      </w:pPr>
      <w:rPr>
        <w:rFonts w:hint="default"/>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5">
    <w:nsid w:val="141E7CAB"/>
    <w:multiLevelType w:val="hybridMultilevel"/>
    <w:tmpl w:val="A00673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466677"/>
    <w:multiLevelType w:val="hybridMultilevel"/>
    <w:tmpl w:val="48208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E95604"/>
    <w:multiLevelType w:val="hybridMultilevel"/>
    <w:tmpl w:val="C668015E"/>
    <w:lvl w:ilvl="0">
      <w:start w:val="1"/>
      <w:numFmt w:val="lowerRoman"/>
      <w:lvlText w:val="%1."/>
      <w:lvlJc w:val="left"/>
      <w:pPr>
        <w:ind w:left="1060" w:hanging="72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8">
    <w:nsid w:val="1E927713"/>
    <w:multiLevelType w:val="hybridMultilevel"/>
    <w:tmpl w:val="E2DA7DBC"/>
    <w:lvl w:ilvl="0">
      <w:start w:val="1"/>
      <w:numFmt w:val="bullet"/>
      <w:lvlText w:val=""/>
      <w:lvlJc w:val="left"/>
      <w:pPr>
        <w:ind w:left="1060" w:hanging="360"/>
      </w:pPr>
      <w:rPr>
        <w:rFonts w:ascii="Symbol" w:hAnsi="Symbol" w:hint="default"/>
      </w:rPr>
    </w:lvl>
    <w:lvl w:ilvl="1" w:tentative="1">
      <w:start w:val="1"/>
      <w:numFmt w:val="bullet"/>
      <w:lvlText w:val="o"/>
      <w:lvlJc w:val="left"/>
      <w:pPr>
        <w:ind w:left="1780" w:hanging="360"/>
      </w:pPr>
      <w:rPr>
        <w:rFonts w:ascii="Courier New" w:hAnsi="Courier New" w:cs="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cs="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cs="Courier New" w:hint="default"/>
      </w:rPr>
    </w:lvl>
    <w:lvl w:ilvl="8" w:tentative="1">
      <w:start w:val="1"/>
      <w:numFmt w:val="bullet"/>
      <w:lvlText w:val=""/>
      <w:lvlJc w:val="left"/>
      <w:pPr>
        <w:ind w:left="6820" w:hanging="360"/>
      </w:pPr>
      <w:rPr>
        <w:rFonts w:ascii="Wingdings" w:hAnsi="Wingdings" w:hint="default"/>
      </w:rPr>
    </w:lvl>
  </w:abstractNum>
  <w:abstractNum w:abstractNumId="9">
    <w:nsid w:val="1EEB532B"/>
    <w:multiLevelType w:val="hybridMultilevel"/>
    <w:tmpl w:val="D67A90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4F567C"/>
    <w:multiLevelType w:val="hybridMultilevel"/>
    <w:tmpl w:val="3D5A1FA6"/>
    <w:lvl w:ilvl="0">
      <w:start w:val="1"/>
      <w:numFmt w:val="bullet"/>
      <w:lvlText w:val=""/>
      <w:lvlJc w:val="left"/>
      <w:pPr>
        <w:ind w:left="1060" w:hanging="360"/>
      </w:pPr>
      <w:rPr>
        <w:rFonts w:ascii="Symbol" w:hAnsi="Symbol" w:hint="default"/>
      </w:rPr>
    </w:lvl>
    <w:lvl w:ilvl="1" w:tentative="1">
      <w:start w:val="1"/>
      <w:numFmt w:val="bullet"/>
      <w:lvlText w:val="o"/>
      <w:lvlJc w:val="left"/>
      <w:pPr>
        <w:ind w:left="1780" w:hanging="360"/>
      </w:pPr>
      <w:rPr>
        <w:rFonts w:ascii="Courier New" w:hAnsi="Courier New" w:cs="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cs="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cs="Courier New" w:hint="default"/>
      </w:rPr>
    </w:lvl>
    <w:lvl w:ilvl="8" w:tentative="1">
      <w:start w:val="1"/>
      <w:numFmt w:val="bullet"/>
      <w:lvlText w:val=""/>
      <w:lvlJc w:val="left"/>
      <w:pPr>
        <w:ind w:left="6820" w:hanging="360"/>
      </w:pPr>
      <w:rPr>
        <w:rFonts w:ascii="Wingdings" w:hAnsi="Wingdings" w:hint="default"/>
      </w:rPr>
    </w:lvl>
  </w:abstractNum>
  <w:abstractNum w:abstractNumId="11">
    <w:nsid w:val="32C911CA"/>
    <w:multiLevelType w:val="hybridMultilevel"/>
    <w:tmpl w:val="49D28A42"/>
    <w:lvl w:ilvl="0">
      <w:start w:val="1"/>
      <w:numFmt w:val="lowerRoman"/>
      <w:lvlText w:val="%1."/>
      <w:lvlJc w:val="left"/>
      <w:pPr>
        <w:ind w:left="1400" w:hanging="720"/>
      </w:pPr>
      <w:rPr>
        <w:rFonts w:hint="default"/>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2">
    <w:nsid w:val="33546D2C"/>
    <w:multiLevelType w:val="hybridMultilevel"/>
    <w:tmpl w:val="079A12A4"/>
    <w:lvl w:ilvl="0">
      <w:start w:val="1"/>
      <w:numFmt w:val="lowerRoman"/>
      <w:lvlText w:val="%1."/>
      <w:lvlJc w:val="left"/>
      <w:pPr>
        <w:ind w:left="1060" w:hanging="72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3">
    <w:nsid w:val="3C8F75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BB1B2C"/>
    <w:multiLevelType w:val="hybridMultilevel"/>
    <w:tmpl w:val="52DE9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DF0874"/>
    <w:multiLevelType w:val="hybridMultilevel"/>
    <w:tmpl w:val="0494FC58"/>
    <w:lvl w:ilvl="0">
      <w:start w:val="1"/>
      <w:numFmt w:val="decimal"/>
      <w:lvlText w:val="%1."/>
      <w:lvlJc w:val="left"/>
      <w:pPr>
        <w:ind w:left="1400" w:hanging="720"/>
      </w:pPr>
      <w:rPr>
        <w:rFonts w:hint="default"/>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6">
    <w:nsid w:val="563C76D8"/>
    <w:multiLevelType w:val="hybridMultilevel"/>
    <w:tmpl w:val="F77AB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D19630A"/>
    <w:multiLevelType w:val="hybridMultilevel"/>
    <w:tmpl w:val="63DC4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897FBC"/>
    <w:multiLevelType w:val="multilevel"/>
    <w:tmpl w:val="88A0D09E"/>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67FA3985"/>
    <w:multiLevelType w:val="hybridMultilevel"/>
    <w:tmpl w:val="FE129312"/>
    <w:lvl w:ilvl="0">
      <w:start w:val="0"/>
      <w:numFmt w:val="bullet"/>
      <w:lvlText w:val="-"/>
      <w:lvlJc w:val="left"/>
      <w:pPr>
        <w:ind w:left="720" w:hanging="360"/>
      </w:pPr>
      <w:rPr>
        <w:rFonts w:ascii="Arial" w:eastAsia="Arial" w:hAnsi="Arial" w:cs="Aria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CB07947"/>
    <w:multiLevelType w:val="hybridMultilevel"/>
    <w:tmpl w:val="D850364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F0854B0"/>
    <w:multiLevelType w:val="hybridMultilevel"/>
    <w:tmpl w:val="BCBE6874"/>
    <w:lvl w:ilvl="0">
      <w:start w:val="1"/>
      <w:numFmt w:val="bullet"/>
      <w:lvlText w:val="o"/>
      <w:lvlJc w:val="left"/>
      <w:pPr>
        <w:ind w:left="1470" w:hanging="360"/>
      </w:pPr>
      <w:rPr>
        <w:rFonts w:ascii="Courier New" w:hAnsi="Courier New" w:cs="Courier New" w:hint="default"/>
      </w:rPr>
    </w:lvl>
    <w:lvl w:ilvl="1">
      <w:start w:val="1"/>
      <w:numFmt w:val="bullet"/>
      <w:lvlText w:val=""/>
      <w:lvlJc w:val="left"/>
      <w:pPr>
        <w:ind w:left="2190" w:hanging="360"/>
      </w:pPr>
      <w:rPr>
        <w:rFonts w:ascii="Symbol" w:hAnsi="Symbol"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2">
    <w:nsid w:val="74D5506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3C70BD"/>
    <w:multiLevelType w:val="hybridMultilevel"/>
    <w:tmpl w:val="95AC6BA6"/>
    <w:lvl w:ilvl="0">
      <w:start w:va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C66ED5"/>
    <w:multiLevelType w:val="hybridMultilevel"/>
    <w:tmpl w:val="4508D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0960BC"/>
    <w:multiLevelType w:val="hybridMultilevel"/>
    <w:tmpl w:val="91A84A50"/>
    <w:lvl w:ilvl="0">
      <w:start w:val="1"/>
      <w:numFmt w:val="bullet"/>
      <w:lvlText w:val=""/>
      <w:lvlJc w:val="left"/>
      <w:pPr>
        <w:ind w:left="1060" w:hanging="360"/>
      </w:pPr>
      <w:rPr>
        <w:rFonts w:ascii="Symbol" w:hAnsi="Symbol" w:hint="default"/>
      </w:rPr>
    </w:lvl>
    <w:lvl w:ilvl="1" w:tentative="1">
      <w:start w:val="1"/>
      <w:numFmt w:val="bullet"/>
      <w:lvlText w:val="o"/>
      <w:lvlJc w:val="left"/>
      <w:pPr>
        <w:ind w:left="1780" w:hanging="360"/>
      </w:pPr>
      <w:rPr>
        <w:rFonts w:ascii="Courier New" w:hAnsi="Courier New" w:cs="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cs="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cs="Courier New" w:hint="default"/>
      </w:rPr>
    </w:lvl>
    <w:lvl w:ilvl="8" w:tentative="1">
      <w:start w:val="1"/>
      <w:numFmt w:val="bullet"/>
      <w:lvlText w:val=""/>
      <w:lvlJc w:val="left"/>
      <w:pPr>
        <w:ind w:left="6820" w:hanging="360"/>
      </w:pPr>
      <w:rPr>
        <w:rFonts w:ascii="Wingdings" w:hAnsi="Wingdings" w:hint="default"/>
      </w:rPr>
    </w:lvl>
  </w:abstractNum>
  <w:abstractNum w:abstractNumId="26">
    <w:nsid w:val="7BDC6A60"/>
    <w:multiLevelType w:val="hybridMultilevel"/>
    <w:tmpl w:val="6E622ADC"/>
    <w:lvl w:ilvl="0">
      <w:start w:val="1"/>
      <w:numFmt w:val="bullet"/>
      <w:lvlText w:val=""/>
      <w:lvlJc w:val="left"/>
      <w:pPr>
        <w:ind w:left="1060" w:hanging="360"/>
      </w:pPr>
      <w:rPr>
        <w:rFonts w:ascii="Symbol" w:hAnsi="Symbol" w:hint="default"/>
      </w:rPr>
    </w:lvl>
    <w:lvl w:ilvl="1" w:tentative="1">
      <w:start w:val="1"/>
      <w:numFmt w:val="bullet"/>
      <w:lvlText w:val="o"/>
      <w:lvlJc w:val="left"/>
      <w:pPr>
        <w:ind w:left="1780" w:hanging="360"/>
      </w:pPr>
      <w:rPr>
        <w:rFonts w:ascii="Courier New" w:hAnsi="Courier New" w:cs="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cs="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cs="Courier New" w:hint="default"/>
      </w:rPr>
    </w:lvl>
    <w:lvl w:ilvl="8" w:tentative="1">
      <w:start w:val="1"/>
      <w:numFmt w:val="bullet"/>
      <w:lvlText w:val=""/>
      <w:lvlJc w:val="left"/>
      <w:pPr>
        <w:ind w:left="6820" w:hanging="360"/>
      </w:pPr>
      <w:rPr>
        <w:rFonts w:ascii="Wingdings" w:hAnsi="Wingdings" w:hint="default"/>
      </w:rPr>
    </w:lvl>
  </w:abstractNum>
  <w:num w:numId="1">
    <w:abstractNumId w:val="26"/>
  </w:num>
  <w:num w:numId="2">
    <w:abstractNumId w:val="10"/>
  </w:num>
  <w:num w:numId="3">
    <w:abstractNumId w:val="12"/>
  </w:num>
  <w:num w:numId="4">
    <w:abstractNumId w:val="3"/>
  </w:num>
  <w:num w:numId="5">
    <w:abstractNumId w:val="17"/>
  </w:num>
  <w:num w:numId="6">
    <w:abstractNumId w:val="6"/>
  </w:num>
  <w:num w:numId="7">
    <w:abstractNumId w:val="4"/>
  </w:num>
  <w:num w:numId="8">
    <w:abstractNumId w:val="7"/>
  </w:num>
  <w:num w:numId="9">
    <w:abstractNumId w:val="25"/>
  </w:num>
  <w:num w:numId="10">
    <w:abstractNumId w:val="11"/>
  </w:num>
  <w:num w:numId="11">
    <w:abstractNumId w:val="15"/>
  </w:num>
  <w:num w:numId="12">
    <w:abstractNumId w:val="8"/>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13"/>
  </w:num>
  <w:num w:numId="18">
    <w:abstractNumId w:val="22"/>
  </w:num>
  <w:num w:numId="19">
    <w:abstractNumId w:val="24"/>
  </w:num>
  <w:num w:numId="20">
    <w:abstractNumId w:val="16"/>
  </w:num>
  <w:num w:numId="21">
    <w:abstractNumId w:val="9"/>
  </w:num>
  <w:num w:numId="22">
    <w:abstractNumId w:val="1"/>
  </w:num>
  <w:num w:numId="23">
    <w:abstractNumId w:val="2"/>
  </w:num>
  <w:num w:numId="24">
    <w:abstractNumId w:val="23"/>
  </w:num>
  <w:num w:numId="25">
    <w:abstractNumId w:val="19"/>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74"/>
    <w:rsid w:val="00000011"/>
    <w:rsid w:val="000058F3"/>
    <w:rsid w:val="00013C38"/>
    <w:rsid w:val="00017DA4"/>
    <w:rsid w:val="00023702"/>
    <w:rsid w:val="00030377"/>
    <w:rsid w:val="00035B11"/>
    <w:rsid w:val="0005394F"/>
    <w:rsid w:val="00055060"/>
    <w:rsid w:val="0005705D"/>
    <w:rsid w:val="000657E4"/>
    <w:rsid w:val="000667FC"/>
    <w:rsid w:val="000729FB"/>
    <w:rsid w:val="0009425D"/>
    <w:rsid w:val="000C002C"/>
    <w:rsid w:val="000C0A39"/>
    <w:rsid w:val="000E5788"/>
    <w:rsid w:val="0011595D"/>
    <w:rsid w:val="001179AE"/>
    <w:rsid w:val="0013516C"/>
    <w:rsid w:val="00154288"/>
    <w:rsid w:val="001727B6"/>
    <w:rsid w:val="00181374"/>
    <w:rsid w:val="00190887"/>
    <w:rsid w:val="001A331F"/>
    <w:rsid w:val="001B4399"/>
    <w:rsid w:val="001C3224"/>
    <w:rsid w:val="001D78E8"/>
    <w:rsid w:val="001E6E9A"/>
    <w:rsid w:val="0020631D"/>
    <w:rsid w:val="002252D1"/>
    <w:rsid w:val="00225AAA"/>
    <w:rsid w:val="00241619"/>
    <w:rsid w:val="00251AA9"/>
    <w:rsid w:val="00263B41"/>
    <w:rsid w:val="0026578A"/>
    <w:rsid w:val="00274E7A"/>
    <w:rsid w:val="002B25F6"/>
    <w:rsid w:val="002B449D"/>
    <w:rsid w:val="002C0723"/>
    <w:rsid w:val="002C6097"/>
    <w:rsid w:val="002F699F"/>
    <w:rsid w:val="00305AE2"/>
    <w:rsid w:val="003137A3"/>
    <w:rsid w:val="003270B9"/>
    <w:rsid w:val="00340FAD"/>
    <w:rsid w:val="00341742"/>
    <w:rsid w:val="003650CB"/>
    <w:rsid w:val="00374EE6"/>
    <w:rsid w:val="00387B8B"/>
    <w:rsid w:val="003A00BB"/>
    <w:rsid w:val="003A3BD4"/>
    <w:rsid w:val="003B4B27"/>
    <w:rsid w:val="003B7AE5"/>
    <w:rsid w:val="003D1CE6"/>
    <w:rsid w:val="003D2387"/>
    <w:rsid w:val="003D36EA"/>
    <w:rsid w:val="003F62D4"/>
    <w:rsid w:val="00400827"/>
    <w:rsid w:val="00410E1B"/>
    <w:rsid w:val="00422D33"/>
    <w:rsid w:val="00440E79"/>
    <w:rsid w:val="0044399F"/>
    <w:rsid w:val="0046202F"/>
    <w:rsid w:val="0046237C"/>
    <w:rsid w:val="00466156"/>
    <w:rsid w:val="0048324B"/>
    <w:rsid w:val="004A0193"/>
    <w:rsid w:val="004B5F97"/>
    <w:rsid w:val="004B6840"/>
    <w:rsid w:val="00501F14"/>
    <w:rsid w:val="00530F73"/>
    <w:rsid w:val="00570515"/>
    <w:rsid w:val="005712BB"/>
    <w:rsid w:val="0058226F"/>
    <w:rsid w:val="005B007A"/>
    <w:rsid w:val="005C69CE"/>
    <w:rsid w:val="005D07B5"/>
    <w:rsid w:val="00621DFD"/>
    <w:rsid w:val="00642918"/>
    <w:rsid w:val="00673A7B"/>
    <w:rsid w:val="00675BB8"/>
    <w:rsid w:val="006944A9"/>
    <w:rsid w:val="006A3C7C"/>
    <w:rsid w:val="006C34EC"/>
    <w:rsid w:val="006E603A"/>
    <w:rsid w:val="006F4A14"/>
    <w:rsid w:val="00700AB6"/>
    <w:rsid w:val="00701E13"/>
    <w:rsid w:val="00706EB6"/>
    <w:rsid w:val="00706ECB"/>
    <w:rsid w:val="00712791"/>
    <w:rsid w:val="00716D17"/>
    <w:rsid w:val="0073036A"/>
    <w:rsid w:val="0074519B"/>
    <w:rsid w:val="007477FF"/>
    <w:rsid w:val="00761CA8"/>
    <w:rsid w:val="00777DD3"/>
    <w:rsid w:val="007C0B29"/>
    <w:rsid w:val="007D3EEE"/>
    <w:rsid w:val="007D5CC6"/>
    <w:rsid w:val="007E3583"/>
    <w:rsid w:val="007E4DA8"/>
    <w:rsid w:val="007F31DE"/>
    <w:rsid w:val="008137AC"/>
    <w:rsid w:val="00822FDD"/>
    <w:rsid w:val="00825347"/>
    <w:rsid w:val="0083008E"/>
    <w:rsid w:val="0084260B"/>
    <w:rsid w:val="00856DDF"/>
    <w:rsid w:val="008630E6"/>
    <w:rsid w:val="00872D60"/>
    <w:rsid w:val="00884455"/>
    <w:rsid w:val="00896BC8"/>
    <w:rsid w:val="008A45F0"/>
    <w:rsid w:val="008B5CC4"/>
    <w:rsid w:val="008C380C"/>
    <w:rsid w:val="008E624D"/>
    <w:rsid w:val="008F05F4"/>
    <w:rsid w:val="00905BD9"/>
    <w:rsid w:val="00906502"/>
    <w:rsid w:val="00906802"/>
    <w:rsid w:val="00925D39"/>
    <w:rsid w:val="00931683"/>
    <w:rsid w:val="009559BC"/>
    <w:rsid w:val="00964373"/>
    <w:rsid w:val="00970AF5"/>
    <w:rsid w:val="00987943"/>
    <w:rsid w:val="009A39B6"/>
    <w:rsid w:val="009A42EF"/>
    <w:rsid w:val="009D3E48"/>
    <w:rsid w:val="009E2C29"/>
    <w:rsid w:val="009E4A9F"/>
    <w:rsid w:val="00A212DE"/>
    <w:rsid w:val="00A25B34"/>
    <w:rsid w:val="00A5114A"/>
    <w:rsid w:val="00A554C9"/>
    <w:rsid w:val="00A62CFB"/>
    <w:rsid w:val="00A709F2"/>
    <w:rsid w:val="00AA2C63"/>
    <w:rsid w:val="00AD4EE3"/>
    <w:rsid w:val="00AE1699"/>
    <w:rsid w:val="00AE2007"/>
    <w:rsid w:val="00AE7EF5"/>
    <w:rsid w:val="00AF5299"/>
    <w:rsid w:val="00AF74C7"/>
    <w:rsid w:val="00B11435"/>
    <w:rsid w:val="00B175C4"/>
    <w:rsid w:val="00B17A99"/>
    <w:rsid w:val="00B300DA"/>
    <w:rsid w:val="00B32C6B"/>
    <w:rsid w:val="00B337A8"/>
    <w:rsid w:val="00B51972"/>
    <w:rsid w:val="00B741EF"/>
    <w:rsid w:val="00B74F51"/>
    <w:rsid w:val="00B764CB"/>
    <w:rsid w:val="00B77AC0"/>
    <w:rsid w:val="00B805AE"/>
    <w:rsid w:val="00B96A9A"/>
    <w:rsid w:val="00BC0B6A"/>
    <w:rsid w:val="00BC5F71"/>
    <w:rsid w:val="00BE4766"/>
    <w:rsid w:val="00BE5048"/>
    <w:rsid w:val="00BF1087"/>
    <w:rsid w:val="00C076E2"/>
    <w:rsid w:val="00C221A0"/>
    <w:rsid w:val="00C377F1"/>
    <w:rsid w:val="00C56718"/>
    <w:rsid w:val="00C6367A"/>
    <w:rsid w:val="00C645BA"/>
    <w:rsid w:val="00C652DF"/>
    <w:rsid w:val="00C822E3"/>
    <w:rsid w:val="00CB2659"/>
    <w:rsid w:val="00CE518B"/>
    <w:rsid w:val="00CE7EC9"/>
    <w:rsid w:val="00CF3C82"/>
    <w:rsid w:val="00CF4FEF"/>
    <w:rsid w:val="00D01881"/>
    <w:rsid w:val="00D03AC4"/>
    <w:rsid w:val="00D04AA1"/>
    <w:rsid w:val="00D21128"/>
    <w:rsid w:val="00D217AC"/>
    <w:rsid w:val="00D34E64"/>
    <w:rsid w:val="00D3663E"/>
    <w:rsid w:val="00D4485A"/>
    <w:rsid w:val="00D702EE"/>
    <w:rsid w:val="00DA3249"/>
    <w:rsid w:val="00DC4C8F"/>
    <w:rsid w:val="00DE0665"/>
    <w:rsid w:val="00DF09DA"/>
    <w:rsid w:val="00DF5690"/>
    <w:rsid w:val="00E21B7F"/>
    <w:rsid w:val="00E26812"/>
    <w:rsid w:val="00E327CC"/>
    <w:rsid w:val="00E401C2"/>
    <w:rsid w:val="00E60EEF"/>
    <w:rsid w:val="00E7379B"/>
    <w:rsid w:val="00E857CE"/>
    <w:rsid w:val="00E9613C"/>
    <w:rsid w:val="00EB1821"/>
    <w:rsid w:val="00EC2B3A"/>
    <w:rsid w:val="00ED6652"/>
    <w:rsid w:val="00EE0CF2"/>
    <w:rsid w:val="00EE377C"/>
    <w:rsid w:val="00EF68B7"/>
    <w:rsid w:val="00F02600"/>
    <w:rsid w:val="00F11159"/>
    <w:rsid w:val="00F377FE"/>
    <w:rsid w:val="00F45A3B"/>
    <w:rsid w:val="00F52B51"/>
    <w:rsid w:val="00F5356D"/>
    <w:rsid w:val="00F610D5"/>
    <w:rsid w:val="00F71E79"/>
    <w:rsid w:val="00F77CF7"/>
    <w:rsid w:val="00F95055"/>
    <w:rsid w:val="00FA0A82"/>
    <w:rsid w:val="00FA30F9"/>
    <w:rsid w:val="00FB385A"/>
    <w:rsid w:val="00FD3587"/>
    <w:rsid w:val="3016E601"/>
    <w:rsid w:val="550F49A5"/>
    <w:rsid w:val="6EDD482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5C197B44"/>
  <w15:chartTrackingRefBased/>
  <w15:docId w15:val="{BD756EA6-1EEA-4E99-BBEA-7C4682B1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7379B"/>
    <w:pPr>
      <w:spacing w:before="120" w:after="120"/>
    </w:pPr>
    <w:rPr>
      <w:rFonts w:ascii="Calibri" w:hAnsi="Calibri"/>
      <w:sz w:val="20"/>
    </w:rPr>
  </w:style>
  <w:style w:type="paragraph" w:styleId="Heading1">
    <w:name w:val="heading 1"/>
    <w:basedOn w:val="Normal"/>
    <w:link w:val="Heading1Char"/>
    <w:uiPriority w:val="9"/>
    <w:qFormat/>
    <w:rsid w:val="00251AA9"/>
    <w:pPr>
      <w:suppressAutoHyphens/>
      <w:autoSpaceDE w:val="0"/>
      <w:autoSpaceDN w:val="0"/>
      <w:adjustRightInd w:val="0"/>
      <w:spacing w:before="283" w:after="0" w:line="288" w:lineRule="auto"/>
      <w:textAlignment w:val="center"/>
      <w:outlineLvl w:val="0"/>
    </w:pPr>
    <w:rPr>
      <w:rFonts w:ascii="Oswald" w:hAnsi="Oswald" w:cs="Oswald"/>
      <w:color w:val="B2A97E"/>
      <w:sz w:val="32"/>
      <w:szCs w:val="32"/>
      <w:lang w:val="en-US"/>
    </w:rPr>
  </w:style>
  <w:style w:type="paragraph" w:styleId="Heading3">
    <w:name w:val="heading 3"/>
    <w:basedOn w:val="Normal"/>
    <w:next w:val="Normal"/>
    <w:link w:val="Heading3Char"/>
    <w:uiPriority w:val="9"/>
    <w:semiHidden/>
    <w:unhideWhenUsed/>
    <w:qFormat/>
    <w:rsid w:val="00822F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74"/>
  </w:style>
  <w:style w:type="paragraph" w:styleId="Footer">
    <w:name w:val="footer"/>
    <w:basedOn w:val="Normal"/>
    <w:link w:val="FooterChar"/>
    <w:uiPriority w:val="99"/>
    <w:unhideWhenUsed/>
    <w:rsid w:val="00181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74"/>
  </w:style>
  <w:style w:type="character" w:customStyle="1" w:styleId="Heading1Char">
    <w:name w:val="Heading 1 Char"/>
    <w:basedOn w:val="DefaultParagraphFont"/>
    <w:link w:val="Heading1"/>
    <w:uiPriority w:val="9"/>
    <w:rsid w:val="00251AA9"/>
    <w:rPr>
      <w:rFonts w:ascii="Oswald" w:hAnsi="Oswald" w:cs="Oswald"/>
      <w:color w:val="B2A97E"/>
      <w:sz w:val="32"/>
      <w:szCs w:val="32"/>
      <w:lang w:val="en-US"/>
    </w:rPr>
  </w:style>
  <w:style w:type="paragraph" w:styleId="BodyText">
    <w:name w:val="Body Text"/>
    <w:basedOn w:val="Normal"/>
    <w:link w:val="BodyTextChar"/>
    <w:uiPriority w:val="99"/>
    <w:rsid w:val="00251AA9"/>
    <w:pPr>
      <w:suppressAutoHyphens/>
      <w:autoSpaceDE w:val="0"/>
      <w:autoSpaceDN w:val="0"/>
      <w:adjustRightInd w:val="0"/>
      <w:spacing w:before="170" w:after="0" w:line="288" w:lineRule="auto"/>
      <w:textAlignment w:val="center"/>
    </w:pPr>
    <w:rPr>
      <w:rFonts w:ascii="Open Sans" w:hAnsi="Open Sans" w:cs="Open Sans"/>
      <w:color w:val="000000"/>
      <w:szCs w:val="20"/>
      <w:lang w:val="en-US"/>
    </w:rPr>
  </w:style>
  <w:style w:type="character" w:customStyle="1" w:styleId="BodyTextChar">
    <w:name w:val="Body Text Char"/>
    <w:basedOn w:val="DefaultParagraphFont"/>
    <w:link w:val="BodyText"/>
    <w:uiPriority w:val="99"/>
    <w:rsid w:val="00251AA9"/>
    <w:rPr>
      <w:rFonts w:ascii="Open Sans" w:hAnsi="Open Sans" w:cs="Open Sans"/>
      <w:color w:val="000000"/>
      <w:sz w:val="20"/>
      <w:szCs w:val="20"/>
      <w:lang w:val="en-US"/>
    </w:rPr>
  </w:style>
  <w:style w:type="paragraph" w:customStyle="1" w:styleId="Bulettes">
    <w:name w:val="Bulettes"/>
    <w:basedOn w:val="Normal"/>
    <w:uiPriority w:val="99"/>
    <w:rsid w:val="00251AA9"/>
    <w:pPr>
      <w:suppressAutoHyphens/>
      <w:autoSpaceDE w:val="0"/>
      <w:autoSpaceDN w:val="0"/>
      <w:adjustRightInd w:val="0"/>
      <w:spacing w:before="57" w:after="0" w:line="288" w:lineRule="auto"/>
      <w:ind w:left="680" w:hanging="340"/>
      <w:textAlignment w:val="center"/>
    </w:pPr>
    <w:rPr>
      <w:rFonts w:ascii="Open Sans" w:hAnsi="Open Sans" w:cs="Open Sans"/>
      <w:color w:val="000000"/>
      <w:szCs w:val="20"/>
      <w:lang w:val="en-US"/>
    </w:rPr>
  </w:style>
  <w:style w:type="paragraph" w:customStyle="1" w:styleId="p">
    <w:name w:val="p"/>
    <w:basedOn w:val="Normal"/>
    <w:uiPriority w:val="99"/>
    <w:rsid w:val="00251AA9"/>
    <w:pPr>
      <w:suppressAutoHyphens/>
      <w:autoSpaceDE w:val="0"/>
      <w:autoSpaceDN w:val="0"/>
      <w:adjustRightInd w:val="0"/>
      <w:spacing w:before="170" w:after="0" w:line="260" w:lineRule="atLeast"/>
      <w:textAlignment w:val="center"/>
    </w:pPr>
    <w:rPr>
      <w:rFonts w:ascii="Open Sans" w:hAnsi="Open Sans" w:cs="Open Sans"/>
      <w:color w:val="4C4C4E"/>
      <w:szCs w:val="20"/>
      <w:lang w:val="en-GB"/>
    </w:rPr>
  </w:style>
  <w:style w:type="table" w:styleId="TableGrid">
    <w:name w:val="Table Grid"/>
    <w:basedOn w:val="TableNormal"/>
    <w:rsid w:val="00251AA9"/>
    <w:pPr>
      <w:autoSpaceDE w:val="0"/>
      <w:autoSpaceDN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51AA9"/>
    <w:pPr>
      <w:autoSpaceDE w:val="0"/>
      <w:autoSpaceDN w:val="0"/>
      <w:spacing w:after="0" w:line="240" w:lineRule="auto"/>
      <w:ind w:left="720"/>
    </w:pPr>
    <w:rPr>
      <w:rFonts w:ascii="Arial" w:eastAsia="Times New Roman" w:hAnsi="Arial" w:cs="Times New Roman"/>
      <w:sz w:val="24"/>
      <w:szCs w:val="20"/>
    </w:rPr>
  </w:style>
  <w:style w:type="character" w:styleId="Hyperlink">
    <w:name w:val="Hyperlink"/>
    <w:rsid w:val="00D04AA1"/>
    <w:rPr>
      <w:color w:val="0000FF"/>
      <w:u w:val="single"/>
    </w:rPr>
  </w:style>
  <w:style w:type="paragraph" w:customStyle="1" w:styleId="BodyText1">
    <w:name w:val="Body Text1"/>
    <w:basedOn w:val="Normal"/>
    <w:qFormat/>
    <w:rsid w:val="00D04AA1"/>
    <w:pPr>
      <w:tabs>
        <w:tab w:val="left" w:pos="284"/>
      </w:tabs>
      <w:overflowPunct w:val="0"/>
      <w:autoSpaceDE w:val="0"/>
      <w:autoSpaceDN w:val="0"/>
      <w:adjustRightInd w:val="0"/>
      <w:spacing w:line="240" w:lineRule="auto"/>
      <w:jc w:val="both"/>
      <w:textAlignment w:val="baseline"/>
    </w:pPr>
    <w:rPr>
      <w:rFonts w:ascii="Arial" w:eastAsia="Times New Roman" w:hAnsi="Arial" w:cs="Arial"/>
      <w:szCs w:val="24"/>
    </w:rPr>
  </w:style>
  <w:style w:type="character" w:styleId="UnresolvedMention">
    <w:name w:val="Unresolved Mention"/>
    <w:basedOn w:val="DefaultParagraphFont"/>
    <w:uiPriority w:val="99"/>
    <w:semiHidden/>
    <w:unhideWhenUsed/>
    <w:rsid w:val="00D04AA1"/>
    <w:rPr>
      <w:color w:val="605E5C"/>
      <w:shd w:val="clear" w:color="auto" w:fill="E1DFDD"/>
    </w:rPr>
  </w:style>
  <w:style w:type="paragraph" w:customStyle="1" w:styleId="Text">
    <w:name w:val="Text"/>
    <w:basedOn w:val="Normal"/>
    <w:rsid w:val="00822FDD"/>
    <w:pPr>
      <w:autoSpaceDE w:val="0"/>
      <w:autoSpaceDN w:val="0"/>
      <w:spacing w:line="280" w:lineRule="atLeast"/>
      <w:ind w:left="720"/>
      <w:jc w:val="both"/>
    </w:pPr>
    <w:rPr>
      <w:rFonts w:ascii="Arial" w:eastAsia="Times New Roman" w:hAnsi="Arial" w:cs="Times New Roman"/>
      <w:bCs/>
      <w:sz w:val="24"/>
      <w:szCs w:val="20"/>
    </w:rPr>
  </w:style>
  <w:style w:type="paragraph" w:customStyle="1" w:styleId="Level1">
    <w:name w:val="Level 1"/>
    <w:basedOn w:val="Heading3"/>
    <w:rsid w:val="00822FDD"/>
    <w:pPr>
      <w:keepLines w:val="0"/>
      <w:numPr>
        <w:numId w:val="13"/>
      </w:numPr>
      <w:tabs>
        <w:tab w:val="clear" w:pos="720"/>
      </w:tabs>
      <w:autoSpaceDE w:val="0"/>
      <w:autoSpaceDN w:val="0"/>
      <w:spacing w:before="240" w:after="120" w:line="280" w:lineRule="atLeast"/>
      <w:ind w:left="1060" w:hanging="360"/>
      <w:jc w:val="both"/>
    </w:pPr>
    <w:rPr>
      <w:rFonts w:ascii="Times" w:eastAsia="Times New Roman" w:hAnsi="Times" w:cs="Times"/>
      <w:b/>
      <w:bCs/>
      <w:caps/>
      <w:color w:val="auto"/>
      <w:szCs w:val="28"/>
    </w:rPr>
  </w:style>
  <w:style w:type="paragraph" w:customStyle="1" w:styleId="Level2">
    <w:name w:val="Level 2"/>
    <w:basedOn w:val="Normal"/>
    <w:rsid w:val="00822FDD"/>
    <w:pPr>
      <w:numPr>
        <w:ilvl w:val="1"/>
        <w:numId w:val="13"/>
      </w:numPr>
      <w:autoSpaceDE w:val="0"/>
      <w:autoSpaceDN w:val="0"/>
      <w:spacing w:before="240" w:line="280" w:lineRule="atLeast"/>
      <w:jc w:val="both"/>
    </w:pPr>
    <w:rPr>
      <w:rFonts w:ascii="Times" w:eastAsia="Times New Roman" w:hAnsi="Times" w:cs="Times New Roman"/>
      <w:b/>
      <w:bCs/>
      <w:szCs w:val="24"/>
    </w:rPr>
  </w:style>
  <w:style w:type="paragraph" w:customStyle="1" w:styleId="Level3">
    <w:name w:val="Level 3"/>
    <w:basedOn w:val="Normal"/>
    <w:rsid w:val="00822FDD"/>
    <w:pPr>
      <w:numPr>
        <w:ilvl w:val="2"/>
        <w:numId w:val="13"/>
      </w:numPr>
      <w:autoSpaceDE w:val="0"/>
      <w:autoSpaceDN w:val="0"/>
      <w:spacing w:line="280" w:lineRule="atLeast"/>
      <w:jc w:val="both"/>
    </w:pPr>
    <w:rPr>
      <w:rFonts w:ascii="Times" w:eastAsia="Times New Roman" w:hAnsi="Times" w:cs="Times New Roman"/>
      <w:b/>
      <w:bCs/>
      <w:sz w:val="24"/>
      <w:szCs w:val="24"/>
    </w:rPr>
  </w:style>
  <w:style w:type="character" w:customStyle="1" w:styleId="Heading3Char">
    <w:name w:val="Heading 3 Char"/>
    <w:basedOn w:val="DefaultParagraphFont"/>
    <w:link w:val="Heading3"/>
    <w:uiPriority w:val="9"/>
    <w:semiHidden/>
    <w:rsid w:val="00822FD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21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DFD"/>
    <w:rPr>
      <w:rFonts w:ascii="Segoe UI" w:hAnsi="Segoe UI" w:cs="Segoe UI"/>
      <w:sz w:val="18"/>
      <w:szCs w:val="18"/>
    </w:rPr>
  </w:style>
  <w:style w:type="paragraph" w:customStyle="1" w:styleId="Body">
    <w:name w:val="Body"/>
    <w:link w:val="BodyChar"/>
    <w:qFormat/>
    <w:rsid w:val="00E7379B"/>
    <w:pPr>
      <w:spacing w:before="120" w:after="120" w:line="260" w:lineRule="exact"/>
    </w:pPr>
    <w:rPr>
      <w:rFonts w:ascii="Calibri" w:hAnsi="Calibri" w:cstheme="minorHAnsi"/>
      <w:sz w:val="20"/>
    </w:rPr>
  </w:style>
  <w:style w:type="character" w:customStyle="1" w:styleId="BodyChar">
    <w:name w:val="Body Char"/>
    <w:basedOn w:val="DefaultParagraphFont"/>
    <w:link w:val="Body"/>
    <w:rsid w:val="00E7379B"/>
    <w:rPr>
      <w:rFonts w:ascii="Calibri" w:hAnsi="Calibri" w:cstheme="minorHAnsi"/>
      <w:sz w:val="20"/>
    </w:rPr>
  </w:style>
  <w:style w:type="paragraph" w:customStyle="1" w:styleId="Heading2">
    <w:name w:val="Heading2"/>
    <w:basedOn w:val="Heading1"/>
    <w:qFormat/>
    <w:rsid w:val="00E7379B"/>
    <w:pPr>
      <w:spacing w:before="120" w:after="120"/>
    </w:pPr>
    <w:rPr>
      <w:rFonts w:ascii="Calibri" w:hAnsi="Calibri" w:cstheme="minorHAnsi"/>
      <w:b/>
      <w:bCs/>
      <w:color w:val="000000" w:themeColor="text1"/>
      <w:sz w:val="24"/>
    </w:rPr>
  </w:style>
  <w:style w:type="paragraph" w:customStyle="1" w:styleId="Tableheader">
    <w:name w:val="Table header"/>
    <w:basedOn w:val="Body"/>
    <w:qFormat/>
    <w:rsid w:val="00E7379B"/>
    <w:rPr>
      <w:b/>
    </w:rPr>
  </w:style>
  <w:style w:type="paragraph" w:customStyle="1" w:styleId="TableParagraph">
    <w:name w:val="Table Paragraph"/>
    <w:basedOn w:val="Normal"/>
    <w:uiPriority w:val="1"/>
    <w:qFormat/>
    <w:rsid w:val="00E7379B"/>
    <w:pPr>
      <w:widowControl w:val="0"/>
      <w:autoSpaceDE w:val="0"/>
      <w:autoSpaceDN w:val="0"/>
      <w:spacing w:before="0" w:after="0" w:line="240" w:lineRule="auto"/>
      <w:ind w:left="103"/>
    </w:pPr>
    <w:rPr>
      <w:rFonts w:eastAsia="Calibri" w:cs="Calibri"/>
      <w:sz w:val="22"/>
      <w:lang w:val="en-US"/>
    </w:rPr>
  </w:style>
  <w:style w:type="character" w:customStyle="1" w:styleId="Listparagraph2Char">
    <w:name w:val="List paragraph 2 Char"/>
    <w:basedOn w:val="DefaultParagraphFont"/>
    <w:link w:val="Listparagraph2"/>
    <w:rsid w:val="00E7379B"/>
    <w:rPr>
      <w:rFonts w:ascii="Calibri" w:eastAsia="Times New Roman" w:hAnsi="Calibri" w:cstheme="minorHAnsi"/>
      <w:color w:val="000000"/>
      <w:sz w:val="20"/>
      <w:lang w:val="en-US" w:eastAsia="en-AU"/>
    </w:rPr>
  </w:style>
  <w:style w:type="paragraph" w:customStyle="1" w:styleId="Listparagraph2">
    <w:name w:val="List paragraph 2"/>
    <w:next w:val="Body"/>
    <w:link w:val="Listparagraph2Char"/>
    <w:qFormat/>
    <w:rsid w:val="00E7379B"/>
    <w:pPr>
      <w:numPr>
        <w:numId w:val="23"/>
      </w:numPr>
      <w:tabs>
        <w:tab w:val="left" w:pos="426"/>
      </w:tabs>
      <w:autoSpaceDE w:val="0"/>
      <w:autoSpaceDN w:val="0"/>
      <w:spacing w:before="80" w:after="80" w:line="260" w:lineRule="exact"/>
      <w:ind w:left="851" w:hanging="425"/>
    </w:pPr>
    <w:rPr>
      <w:rFonts w:ascii="Calibri" w:eastAsia="Times New Roman" w:hAnsi="Calibri" w:cstheme="minorHAnsi"/>
      <w:color w:val="000000"/>
      <w:sz w:val="20"/>
      <w:lang w:val="en-US" w:eastAsia="en-AU"/>
    </w:rPr>
  </w:style>
  <w:style w:type="paragraph" w:customStyle="1" w:styleId="Heading21">
    <w:name w:val="Heading 21"/>
    <w:basedOn w:val="Heading1"/>
    <w:qFormat/>
    <w:rsid w:val="00EB1821"/>
    <w:pPr>
      <w:keepNext/>
      <w:spacing w:before="280" w:after="120" w:line="240" w:lineRule="auto"/>
    </w:pPr>
    <w:rPr>
      <w:rFonts w:ascii="Calibri" w:hAnsi="Calibri" w:cstheme="minorHAnsi"/>
      <w:b/>
      <w:bCs/>
      <w:color w:val="000000" w:themeColor="text1"/>
      <w:sz w:val="24"/>
    </w:rPr>
  </w:style>
  <w:style w:type="character" w:styleId="CommentReference">
    <w:name w:val="annotation reference"/>
    <w:semiHidden/>
    <w:rsid w:val="00387B8B"/>
    <w:rPr>
      <w:sz w:val="16"/>
      <w:szCs w:val="16"/>
    </w:rPr>
  </w:style>
  <w:style w:type="paragraph" w:styleId="CommentText">
    <w:name w:val="annotation text"/>
    <w:basedOn w:val="Normal"/>
    <w:link w:val="CommentTextChar"/>
    <w:uiPriority w:val="99"/>
    <w:semiHidden/>
    <w:unhideWhenUsed/>
    <w:rsid w:val="0046237C"/>
    <w:pPr>
      <w:spacing w:line="240" w:lineRule="auto"/>
    </w:pPr>
    <w:rPr>
      <w:szCs w:val="20"/>
    </w:rPr>
  </w:style>
  <w:style w:type="character" w:customStyle="1" w:styleId="CommentTextChar">
    <w:name w:val="Comment Text Char"/>
    <w:basedOn w:val="DefaultParagraphFont"/>
    <w:link w:val="CommentText"/>
    <w:uiPriority w:val="99"/>
    <w:semiHidden/>
    <w:rsid w:val="0046237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6237C"/>
    <w:rPr>
      <w:b/>
      <w:bCs/>
    </w:rPr>
  </w:style>
  <w:style w:type="character" w:customStyle="1" w:styleId="CommentSubjectChar">
    <w:name w:val="Comment Subject Char"/>
    <w:basedOn w:val="CommentTextChar"/>
    <w:link w:val="CommentSubject"/>
    <w:uiPriority w:val="99"/>
    <w:semiHidden/>
    <w:rsid w:val="0046237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0f88465-c642-4145-b12e-0074786a6824">DWER-655210590-974</_dlc_DocId>
    <_dlc_DocIdUrl xmlns="d0f88465-c642-4145-b12e-0074786a6824">
      <Url>https://wawater.sharepoint.com/sites/EnvironmentOnlineInternalUAT/_layouts/15/DocIdRedir.aspx?ID=DWER-655210590-974</Url>
      <Description>DWER-655210590-974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4CC025B15A143831553B27F67BAA4" ma:contentTypeVersion="2" ma:contentTypeDescription="Create a new document." ma:contentTypeScope="" ma:versionID="c9e93a4122ad2d366c4126d88c4e2b12">
  <xsd:schema xmlns:xsd="http://www.w3.org/2001/XMLSchema" xmlns:xs="http://www.w3.org/2001/XMLSchema" xmlns:p="http://schemas.microsoft.com/office/2006/metadata/properties" xmlns:ns2="d0f88465-c642-4145-b12e-0074786a6824" xmlns:ns3="c3c9e174-e916-43a7-84fa-b9a62b5828e5" targetNamespace="http://schemas.microsoft.com/office/2006/metadata/properties" ma:root="true" ma:fieldsID="5eb1a1a66209c0f2272b647e58244fcf" ns2:_="" ns3:_="">
    <xsd:import namespace="d0f88465-c642-4145-b12e-0074786a6824"/>
    <xsd:import namespace="c3c9e174-e916-43a7-84fa-b9a62b5828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88465-c642-4145-b12e-0074786a68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c9e174-e916-43a7-84fa-b9a62b582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42141-C3B2-4D02-820D-E4DCC1A5111A}">
  <ds:schemaRefs/>
</ds:datastoreItem>
</file>

<file path=customXml/itemProps2.xml><?xml version="1.0" encoding="utf-8"?>
<ds:datastoreItem xmlns:ds="http://schemas.openxmlformats.org/officeDocument/2006/customXml" ds:itemID="{21E50922-265B-4899-996F-999A5EF10760}">
  <ds:schemaRefs>
    <ds:schemaRef ds:uri="http://schemas.microsoft.com/office/2006/metadata/properties"/>
    <ds:schemaRef ds:uri="http://schemas.microsoft.com/office/infopath/2007/PartnerControls"/>
    <ds:schemaRef ds:uri="0670d381-ebc2-452e-8068-fd4baf44e4f0"/>
    <ds:schemaRef ds:uri="e20d3792-2b9b-4336-8bf5-7505c02d562e"/>
  </ds:schemaRefs>
</ds:datastoreItem>
</file>

<file path=customXml/itemProps3.xml><?xml version="1.0" encoding="utf-8"?>
<ds:datastoreItem xmlns:ds="http://schemas.openxmlformats.org/officeDocument/2006/customXml" ds:itemID="{5CE4DD8A-C7D1-46F1-B14E-2C4F70A27EED}">
  <ds:schemaRefs/>
</ds:datastoreItem>
</file>

<file path=customXml/itemProps4.xml><?xml version="1.0" encoding="utf-8"?>
<ds:datastoreItem xmlns:ds="http://schemas.openxmlformats.org/officeDocument/2006/customXml" ds:itemID="{E7959A9D-2FB6-43ED-85DE-3E6FF6980708}">
  <ds:schemaRefs>
    <ds:schemaRef ds:uri="http://schemas.microsoft.com/sharepoint/v3/contenttype/forms"/>
  </ds:schemaRefs>
</ds:datastoreItem>
</file>

<file path=customXml/itemProps5.xml><?xml version="1.0" encoding="utf-8"?>
<ds:datastoreItem xmlns:ds="http://schemas.openxmlformats.org/officeDocument/2006/customXml" ds:itemID="{5FEC2172-95A3-4938-99AF-D7E98609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Water and Environmental Regulation</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Hazeldine</dc:creator>
  <cp:lastModifiedBy>Chan MyeThaw</cp:lastModifiedBy>
  <cp:revision>80</cp:revision>
  <dcterms:created xsi:type="dcterms:W3CDTF">2022-05-04T09:06:00Z</dcterms:created>
  <dcterms:modified xsi:type="dcterms:W3CDTF">2022-06-21T15:52:00Z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2,3,4</vt:lpwstr>
  </property>
  <property fmtid="{D5CDD505-2E9C-101B-9397-08002B2CF9AE}" pid="4" name="ClassificationContentMarkingFooterText">
    <vt:lpwstr>OFFICIAL</vt:lpwstr>
  </property>
  <property fmtid="{D5CDD505-2E9C-101B-9397-08002B2CF9AE}" pid="5" name="ContentTypeId">
    <vt:lpwstr>0x0101000384CC025B15A143831553B27F67BAA4</vt:lpwstr>
  </property>
  <property fmtid="{D5CDD505-2E9C-101B-9397-08002B2CF9AE}" pid="6" name="DocumentType">
    <vt:lpwstr/>
  </property>
  <property fmtid="{D5CDD505-2E9C-101B-9397-08002B2CF9AE}" pid="7" name="MSIP_Label_8e7b4816-525d-4976-93bd-bcb06a9c224c_ActionId">
    <vt:lpwstr>3e59e37d-c7fa-4521-adfb-02e16cc2e42d</vt:lpwstr>
  </property>
  <property fmtid="{D5CDD505-2E9C-101B-9397-08002B2CF9AE}" pid="8" name="MSIP_Label_8e7b4816-525d-4976-93bd-bcb06a9c224c_ContentBits">
    <vt:lpwstr>2</vt:lpwstr>
  </property>
  <property fmtid="{D5CDD505-2E9C-101B-9397-08002B2CF9AE}" pid="9" name="MSIP_Label_8e7b4816-525d-4976-93bd-bcb06a9c224c_Enabled">
    <vt:lpwstr>true</vt:lpwstr>
  </property>
  <property fmtid="{D5CDD505-2E9C-101B-9397-08002B2CF9AE}" pid="10" name="MSIP_Label_8e7b4816-525d-4976-93bd-bcb06a9c224c_Method">
    <vt:lpwstr>Standard</vt:lpwstr>
  </property>
  <property fmtid="{D5CDD505-2E9C-101B-9397-08002B2CF9AE}" pid="11" name="MSIP_Label_8e7b4816-525d-4976-93bd-bcb06a9c224c_Name">
    <vt:lpwstr>Official</vt:lpwstr>
  </property>
  <property fmtid="{D5CDD505-2E9C-101B-9397-08002B2CF9AE}" pid="12" name="MSIP_Label_8e7b4816-525d-4976-93bd-bcb06a9c224c_SetDate">
    <vt:lpwstr>2022-05-04T09:06:30Z</vt:lpwstr>
  </property>
  <property fmtid="{D5CDD505-2E9C-101B-9397-08002B2CF9AE}" pid="13" name="MSIP_Label_8e7b4816-525d-4976-93bd-bcb06a9c224c_SiteId">
    <vt:lpwstr>53ebe217-aa1e-46fe-b88e-9d762dec2ef6</vt:lpwstr>
  </property>
  <property fmtid="{D5CDD505-2E9C-101B-9397-08002B2CF9AE}" pid="14" name="_dlc_DocIdItemGuid">
    <vt:lpwstr>1523fdac-77cb-47d3-9b8a-4e579e2513ca</vt:lpwstr>
  </property>
</Properties>
</file>